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328"/>
        </w:tabs>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b w:val="0"/>
          <w:bCs w:val="0"/>
          <w:color w:val="auto"/>
          <w:sz w:val="44"/>
          <w:szCs w:val="44"/>
          <w:highlight w:val="none"/>
          <w:shd w:val="clear" w:color="auto" w:fill="auto"/>
          <w:lang w:eastAsia="zh-CN"/>
        </w:rPr>
      </w:pPr>
      <w:r>
        <w:rPr>
          <w:rFonts w:hint="default" w:ascii="Times New Roman" w:hAnsi="Times New Roman" w:eastAsia="方正小标宋_GBK" w:cs="Times New Roman"/>
          <w:b w:val="0"/>
          <w:bCs w:val="0"/>
          <w:color w:val="auto"/>
          <w:sz w:val="44"/>
          <w:szCs w:val="44"/>
          <w:highlight w:val="none"/>
          <w:shd w:val="clear" w:color="auto" w:fill="auto"/>
          <w:lang w:val="en-US" w:eastAsia="zh-CN"/>
        </w:rPr>
        <w:t>重庆储备粮管理集团有限公司</w:t>
      </w:r>
      <w:r>
        <w:rPr>
          <w:rFonts w:hint="default" w:ascii="Times New Roman" w:hAnsi="Times New Roman" w:eastAsia="方正小标宋_GBK" w:cs="Times New Roman"/>
          <w:b w:val="0"/>
          <w:bCs w:val="0"/>
          <w:color w:val="auto"/>
          <w:sz w:val="44"/>
          <w:szCs w:val="44"/>
          <w:highlight w:val="none"/>
          <w:shd w:val="clear" w:color="auto" w:fill="auto"/>
          <w:lang w:eastAsia="zh-CN"/>
        </w:rPr>
        <w:t>梁平分公司</w:t>
      </w:r>
    </w:p>
    <w:p>
      <w:pPr>
        <w:keepNext w:val="0"/>
        <w:keepLines w:val="0"/>
        <w:pageBreakBefore w:val="0"/>
        <w:widowControl w:val="0"/>
        <w:tabs>
          <w:tab w:val="left" w:pos="2328"/>
        </w:tabs>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b w:val="0"/>
          <w:bCs w:val="0"/>
          <w:color w:val="auto"/>
          <w:sz w:val="44"/>
          <w:szCs w:val="44"/>
          <w:highlight w:val="none"/>
          <w:shd w:val="clear" w:color="auto" w:fill="auto"/>
          <w:lang w:eastAsia="zh-CN"/>
        </w:rPr>
      </w:pPr>
      <w:r>
        <w:rPr>
          <w:rFonts w:hint="default" w:ascii="Times New Roman" w:hAnsi="Times New Roman" w:eastAsia="方正小标宋_GBK" w:cs="Times New Roman"/>
          <w:b w:val="0"/>
          <w:bCs w:val="0"/>
          <w:color w:val="auto"/>
          <w:sz w:val="44"/>
          <w:szCs w:val="44"/>
          <w:highlight w:val="none"/>
          <w:shd w:val="clear" w:color="auto" w:fill="auto"/>
          <w:lang w:eastAsia="zh-CN"/>
        </w:rPr>
        <w:t>会议系统设备采购项目</w:t>
      </w:r>
    </w:p>
    <w:p>
      <w:pPr>
        <w:spacing w:line="1600" w:lineRule="exact"/>
        <w:jc w:val="center"/>
        <w:outlineLvl w:val="9"/>
        <w:rPr>
          <w:rFonts w:hint="default" w:ascii="Times New Roman" w:hAnsi="Times New Roman" w:eastAsia="仿宋" w:cs="Times New Roman"/>
          <w:b/>
          <w:bCs/>
          <w:color w:val="auto"/>
          <w:sz w:val="72"/>
          <w:szCs w:val="72"/>
          <w:highlight w:val="none"/>
          <w:shd w:val="clear" w:color="auto" w:fill="auto"/>
        </w:rPr>
      </w:pPr>
    </w:p>
    <w:p>
      <w:pPr>
        <w:spacing w:line="1600" w:lineRule="exact"/>
        <w:jc w:val="center"/>
        <w:outlineLvl w:val="9"/>
        <w:rPr>
          <w:rFonts w:hint="default" w:ascii="Times New Roman" w:hAnsi="Times New Roman" w:eastAsia="仿宋" w:cs="Times New Roman"/>
          <w:b/>
          <w:bCs/>
          <w:color w:val="auto"/>
          <w:sz w:val="96"/>
          <w:szCs w:val="96"/>
          <w:highlight w:val="none"/>
          <w:shd w:val="clear" w:color="auto" w:fill="auto"/>
        </w:rPr>
      </w:pPr>
    </w:p>
    <w:p>
      <w:pPr>
        <w:keepNext w:val="0"/>
        <w:keepLines w:val="0"/>
        <w:pageBreakBefore w:val="0"/>
        <w:widowControl w:val="0"/>
        <w:tabs>
          <w:tab w:val="left" w:pos="2328"/>
        </w:tabs>
        <w:kinsoku/>
        <w:wordWrap/>
        <w:overflowPunct/>
        <w:topLinePunct w:val="0"/>
        <w:autoSpaceDE/>
        <w:autoSpaceDN/>
        <w:bidi w:val="0"/>
        <w:adjustRightInd/>
        <w:snapToGrid/>
        <w:spacing w:line="780" w:lineRule="exact"/>
        <w:jc w:val="center"/>
        <w:textAlignment w:val="auto"/>
        <w:outlineLvl w:val="9"/>
        <w:rPr>
          <w:rFonts w:hint="default" w:ascii="Times New Roman" w:hAnsi="Times New Roman" w:eastAsia="方正小标宋_GBK" w:cs="Times New Roman"/>
          <w:b w:val="0"/>
          <w:bCs w:val="0"/>
          <w:color w:val="auto"/>
          <w:sz w:val="72"/>
          <w:szCs w:val="72"/>
          <w:highlight w:val="none"/>
          <w:shd w:val="clear" w:color="auto" w:fill="auto"/>
          <w:lang w:eastAsia="zh-CN"/>
        </w:rPr>
      </w:pPr>
      <w:r>
        <w:rPr>
          <w:rFonts w:hint="default" w:ascii="Times New Roman" w:hAnsi="Times New Roman" w:eastAsia="方正小标宋_GBK" w:cs="Times New Roman"/>
          <w:b w:val="0"/>
          <w:bCs w:val="0"/>
          <w:color w:val="auto"/>
          <w:sz w:val="72"/>
          <w:szCs w:val="72"/>
          <w:highlight w:val="none"/>
          <w:shd w:val="clear" w:color="auto" w:fill="auto"/>
          <w:lang w:val="en-US" w:eastAsia="zh-CN"/>
        </w:rPr>
        <w:t>竞争性</w:t>
      </w:r>
      <w:r>
        <w:rPr>
          <w:rFonts w:hint="default" w:ascii="Times New Roman" w:hAnsi="Times New Roman" w:eastAsia="方正小标宋_GBK" w:cs="Times New Roman"/>
          <w:b w:val="0"/>
          <w:bCs w:val="0"/>
          <w:color w:val="auto"/>
          <w:sz w:val="72"/>
          <w:szCs w:val="72"/>
          <w:highlight w:val="none"/>
          <w:shd w:val="clear" w:color="auto" w:fill="auto"/>
          <w:lang w:eastAsia="zh-CN"/>
        </w:rPr>
        <w:t>比选文件</w:t>
      </w:r>
    </w:p>
    <w:p>
      <w:pPr>
        <w:spacing w:line="1600" w:lineRule="exact"/>
        <w:jc w:val="both"/>
        <w:rPr>
          <w:rFonts w:hint="default" w:ascii="Times New Roman" w:hAnsi="Times New Roman" w:eastAsia="仿宋" w:cs="Times New Roman"/>
          <w:b w:val="0"/>
          <w:bCs w:val="0"/>
          <w:color w:val="auto"/>
          <w:sz w:val="30"/>
          <w:highlight w:val="none"/>
          <w:shd w:val="clear" w:color="auto" w:fill="auto"/>
        </w:rPr>
      </w:pPr>
    </w:p>
    <w:p>
      <w:pPr>
        <w:spacing w:line="500" w:lineRule="exact"/>
        <w:outlineLvl w:val="9"/>
        <w:rPr>
          <w:rFonts w:hint="default" w:ascii="Times New Roman" w:hAnsi="Times New Roman" w:eastAsia="仿宋" w:cs="Times New Roman"/>
          <w:b w:val="0"/>
          <w:bCs w:val="0"/>
          <w:color w:val="auto"/>
          <w:sz w:val="32"/>
          <w:szCs w:val="32"/>
          <w:highlight w:val="none"/>
          <w:shd w:val="clear" w:color="auto" w:fill="auto"/>
        </w:rPr>
      </w:pPr>
    </w:p>
    <w:p>
      <w:pPr>
        <w:pStyle w:val="5"/>
        <w:spacing w:line="500" w:lineRule="exact"/>
        <w:ind w:left="0" w:firstLine="800" w:firstLineChars="250"/>
        <w:outlineLvl w:val="9"/>
        <w:rPr>
          <w:rFonts w:hint="default" w:ascii="Times New Roman" w:hAnsi="Times New Roman" w:eastAsia="仿宋" w:cs="Times New Roman"/>
          <w:b w:val="0"/>
          <w:bCs w:val="0"/>
          <w:color w:val="auto"/>
          <w:sz w:val="32"/>
          <w:szCs w:val="32"/>
          <w:highlight w:val="none"/>
          <w:shd w:val="clear" w:color="auto" w:fill="auto"/>
        </w:rPr>
      </w:pPr>
      <w:r>
        <w:rPr>
          <w:rFonts w:hint="default" w:ascii="Times New Roman" w:hAnsi="Times New Roman" w:eastAsia="仿宋" w:cs="Times New Roman"/>
          <w:b w:val="0"/>
          <w:bCs w:val="0"/>
          <w:color w:val="auto"/>
          <w:sz w:val="32"/>
          <w:szCs w:val="32"/>
          <w:highlight w:val="none"/>
          <w:shd w:val="clear" w:color="auto" w:fill="auto"/>
        </w:rPr>
        <w:t xml:space="preserve"> </w:t>
      </w:r>
    </w:p>
    <w:p>
      <w:pPr>
        <w:spacing w:line="500" w:lineRule="exact"/>
        <w:rPr>
          <w:rFonts w:hint="default" w:ascii="Times New Roman" w:hAnsi="Times New Roman" w:eastAsia="仿宋" w:cs="Times New Roman"/>
          <w:b w:val="0"/>
          <w:bCs w:val="0"/>
          <w:color w:val="auto"/>
          <w:sz w:val="32"/>
          <w:szCs w:val="32"/>
          <w:highlight w:val="none"/>
          <w:shd w:val="clear" w:color="auto" w:fill="auto"/>
        </w:rPr>
      </w:pPr>
    </w:p>
    <w:p>
      <w:pPr>
        <w:spacing w:line="500" w:lineRule="exact"/>
        <w:jc w:val="center"/>
        <w:rPr>
          <w:rFonts w:hint="default" w:ascii="Times New Roman" w:hAnsi="Times New Roman" w:eastAsia="仿宋" w:cs="Times New Roman"/>
          <w:b w:val="0"/>
          <w:bCs w:val="0"/>
          <w:color w:val="auto"/>
          <w:sz w:val="32"/>
          <w:szCs w:val="32"/>
          <w:highlight w:val="none"/>
          <w:shd w:val="clear" w:color="auto" w:fill="auto"/>
        </w:rPr>
      </w:pPr>
    </w:p>
    <w:p>
      <w:pPr>
        <w:spacing w:line="500" w:lineRule="exact"/>
        <w:jc w:val="both"/>
        <w:rPr>
          <w:rFonts w:hint="default" w:ascii="Times New Roman" w:hAnsi="Times New Roman" w:eastAsia="仿宋" w:cs="Times New Roman"/>
          <w:b w:val="0"/>
          <w:bCs w:val="0"/>
          <w:color w:val="auto"/>
          <w:sz w:val="32"/>
          <w:szCs w:val="32"/>
          <w:highlight w:val="none"/>
          <w:shd w:val="clear" w:color="auto" w:fill="auto"/>
        </w:rPr>
      </w:pPr>
    </w:p>
    <w:p>
      <w:pPr>
        <w:spacing w:line="500" w:lineRule="exact"/>
        <w:jc w:val="both"/>
        <w:rPr>
          <w:rFonts w:hint="default" w:ascii="Times New Roman" w:hAnsi="Times New Roman" w:eastAsia="仿宋" w:cs="Times New Roman"/>
          <w:b w:val="0"/>
          <w:bCs w:val="0"/>
          <w:color w:val="auto"/>
          <w:sz w:val="32"/>
          <w:szCs w:val="32"/>
          <w:highlight w:val="none"/>
          <w:shd w:val="clear" w:color="auto" w:fill="auto"/>
        </w:rPr>
      </w:pPr>
    </w:p>
    <w:p>
      <w:pPr>
        <w:spacing w:line="500" w:lineRule="exact"/>
        <w:ind w:firstLine="960" w:firstLineChars="300"/>
        <w:jc w:val="both"/>
        <w:outlineLvl w:val="9"/>
        <w:rPr>
          <w:rFonts w:hint="default" w:ascii="Times New Roman" w:hAnsi="Times New Roman" w:cs="Times New Roman" w:eastAsiaTheme="minorEastAsia"/>
          <w:b w:val="0"/>
          <w:bCs w:val="0"/>
          <w:color w:val="auto"/>
          <w:sz w:val="32"/>
          <w:szCs w:val="18"/>
          <w:highlight w:val="none"/>
          <w:shd w:val="clear" w:color="auto" w:fill="auto"/>
          <w:lang w:val="en-US" w:eastAsia="zh-CN"/>
        </w:rPr>
      </w:pPr>
      <w:r>
        <w:rPr>
          <w:rFonts w:hint="default" w:ascii="Times New Roman" w:hAnsi="Times New Roman" w:cs="Times New Roman" w:eastAsiaTheme="minorEastAsia"/>
          <w:b w:val="0"/>
          <w:bCs w:val="0"/>
          <w:color w:val="auto"/>
          <w:sz w:val="32"/>
          <w:szCs w:val="18"/>
          <w:highlight w:val="none"/>
          <w:shd w:val="clear" w:color="auto" w:fill="auto"/>
          <w:lang w:eastAsia="zh-CN"/>
        </w:rPr>
        <w:t>比选人</w:t>
      </w:r>
      <w:r>
        <w:rPr>
          <w:rFonts w:hint="default" w:ascii="Times New Roman" w:hAnsi="Times New Roman" w:cs="Times New Roman" w:eastAsiaTheme="minorEastAsia"/>
          <w:b w:val="0"/>
          <w:bCs w:val="0"/>
          <w:color w:val="auto"/>
          <w:sz w:val="32"/>
          <w:szCs w:val="18"/>
          <w:highlight w:val="none"/>
          <w:shd w:val="clear" w:color="auto" w:fill="auto"/>
        </w:rPr>
        <w:t>：</w:t>
      </w:r>
      <w:r>
        <w:rPr>
          <w:rFonts w:hint="default" w:ascii="Times New Roman" w:hAnsi="Times New Roman" w:cs="Times New Roman" w:eastAsiaTheme="minorEastAsia"/>
          <w:b w:val="0"/>
          <w:bCs w:val="0"/>
          <w:color w:val="auto"/>
          <w:sz w:val="32"/>
          <w:szCs w:val="18"/>
          <w:highlight w:val="none"/>
          <w:shd w:val="clear" w:color="auto" w:fill="auto"/>
          <w:lang w:val="en-US" w:eastAsia="zh-CN"/>
        </w:rPr>
        <w:t>重庆储备粮管理集团有限公司梁平分公司（盖章）</w:t>
      </w:r>
    </w:p>
    <w:p>
      <w:pPr>
        <w:tabs>
          <w:tab w:val="center" w:pos="4306"/>
          <w:tab w:val="left" w:pos="6932"/>
        </w:tabs>
        <w:spacing w:line="500" w:lineRule="exact"/>
        <w:ind w:firstLine="640" w:firstLineChars="200"/>
        <w:jc w:val="left"/>
        <w:outlineLvl w:val="9"/>
        <w:rPr>
          <w:rFonts w:hint="default" w:ascii="Times New Roman" w:hAnsi="Times New Roman" w:cs="Times New Roman" w:eastAsiaTheme="minorEastAsia"/>
          <w:b w:val="0"/>
          <w:bCs w:val="0"/>
          <w:color w:val="auto"/>
          <w:sz w:val="32"/>
          <w:szCs w:val="18"/>
          <w:highlight w:val="none"/>
          <w:shd w:val="clear" w:color="auto" w:fill="auto"/>
        </w:rPr>
      </w:pPr>
    </w:p>
    <w:p>
      <w:pPr>
        <w:tabs>
          <w:tab w:val="center" w:pos="4306"/>
          <w:tab w:val="left" w:pos="6932"/>
        </w:tabs>
        <w:spacing w:line="500" w:lineRule="exact"/>
        <w:ind w:firstLine="960" w:firstLineChars="300"/>
        <w:jc w:val="left"/>
        <w:outlineLvl w:val="9"/>
        <w:rPr>
          <w:rFonts w:hint="default" w:ascii="Times New Roman" w:hAnsi="Times New Roman" w:cs="Times New Roman" w:eastAsiaTheme="minorEastAsia"/>
          <w:b w:val="0"/>
          <w:bCs w:val="0"/>
          <w:color w:val="auto"/>
          <w:sz w:val="32"/>
          <w:szCs w:val="18"/>
          <w:highlight w:val="none"/>
          <w:shd w:val="clear" w:color="auto" w:fill="auto"/>
        </w:rPr>
      </w:pPr>
      <w:r>
        <w:rPr>
          <w:rFonts w:hint="default" w:ascii="Times New Roman" w:hAnsi="Times New Roman" w:cs="Times New Roman" w:eastAsiaTheme="minorEastAsia"/>
          <w:b w:val="0"/>
          <w:bCs w:val="0"/>
          <w:color w:val="auto"/>
          <w:sz w:val="32"/>
          <w:szCs w:val="18"/>
          <w:highlight w:val="none"/>
          <w:shd w:val="clear" w:color="auto" w:fill="auto"/>
        </w:rPr>
        <w:t>代理机构：</w:t>
      </w:r>
      <w:r>
        <w:rPr>
          <w:rFonts w:hint="default" w:ascii="Times New Roman" w:hAnsi="Times New Roman" w:cs="Times New Roman" w:eastAsiaTheme="minorEastAsia"/>
          <w:bCs/>
          <w:color w:val="auto"/>
          <w:sz w:val="32"/>
          <w:szCs w:val="32"/>
          <w:highlight w:val="none"/>
          <w:shd w:val="clear" w:color="auto" w:fill="auto"/>
          <w:lang w:val="en-US" w:eastAsia="zh-CN"/>
        </w:rPr>
        <w:t>重庆春林建设工程咨询有限公司（盖章）</w:t>
      </w:r>
      <w:r>
        <w:rPr>
          <w:rFonts w:hint="default" w:ascii="Times New Roman" w:hAnsi="Times New Roman" w:cs="Times New Roman" w:eastAsiaTheme="minorEastAsia"/>
          <w:b w:val="0"/>
          <w:bCs w:val="0"/>
          <w:color w:val="auto"/>
          <w:sz w:val="32"/>
          <w:szCs w:val="18"/>
          <w:highlight w:val="none"/>
          <w:shd w:val="clear" w:color="auto" w:fill="auto"/>
        </w:rPr>
        <w:t xml:space="preserve"> </w:t>
      </w:r>
      <w:r>
        <w:rPr>
          <w:rFonts w:hint="default" w:ascii="Times New Roman" w:hAnsi="Times New Roman" w:cs="Times New Roman" w:eastAsiaTheme="minorEastAsia"/>
          <w:b w:val="0"/>
          <w:bCs w:val="0"/>
          <w:color w:val="auto"/>
          <w:sz w:val="32"/>
          <w:szCs w:val="18"/>
          <w:highlight w:val="none"/>
          <w:shd w:val="clear" w:color="auto" w:fill="auto"/>
        </w:rPr>
        <w:tab/>
      </w:r>
    </w:p>
    <w:p>
      <w:pPr>
        <w:tabs>
          <w:tab w:val="center" w:pos="4306"/>
          <w:tab w:val="left" w:pos="6932"/>
        </w:tabs>
        <w:spacing w:line="500" w:lineRule="exact"/>
        <w:jc w:val="left"/>
        <w:outlineLvl w:val="9"/>
        <w:rPr>
          <w:rFonts w:hint="default" w:ascii="Times New Roman" w:hAnsi="Times New Roman" w:cs="Times New Roman" w:eastAsiaTheme="minorEastAsia"/>
          <w:b w:val="0"/>
          <w:bCs w:val="0"/>
          <w:color w:val="auto"/>
          <w:sz w:val="32"/>
          <w:szCs w:val="18"/>
          <w:highlight w:val="none"/>
          <w:shd w:val="clear" w:color="auto" w:fill="auto"/>
        </w:rPr>
      </w:pPr>
    </w:p>
    <w:p>
      <w:pPr>
        <w:snapToGrid w:val="0"/>
        <w:spacing w:line="500" w:lineRule="exact"/>
        <w:jc w:val="center"/>
        <w:rPr>
          <w:rFonts w:hint="default" w:ascii="Times New Roman" w:hAnsi="Times New Roman" w:cs="Times New Roman" w:eastAsiaTheme="minorEastAsia"/>
          <w:b w:val="0"/>
          <w:bCs w:val="0"/>
          <w:color w:val="auto"/>
          <w:sz w:val="32"/>
          <w:szCs w:val="18"/>
          <w:highlight w:val="none"/>
          <w:shd w:val="clear" w:color="auto" w:fill="auto"/>
        </w:rPr>
      </w:pPr>
    </w:p>
    <w:p>
      <w:pPr>
        <w:snapToGrid w:val="0"/>
        <w:spacing w:line="500" w:lineRule="exact"/>
        <w:jc w:val="center"/>
        <w:rPr>
          <w:rFonts w:hint="default" w:ascii="Times New Roman" w:hAnsi="Times New Roman" w:cs="Times New Roman" w:eastAsiaTheme="minorEastAsia"/>
          <w:b w:val="0"/>
          <w:bCs w:val="0"/>
          <w:color w:val="auto"/>
          <w:sz w:val="28"/>
          <w:szCs w:val="13"/>
          <w:highlight w:val="none"/>
          <w:shd w:val="clear" w:color="auto" w:fill="auto"/>
        </w:rPr>
        <w:sectPr>
          <w:headerReference r:id="rId3" w:type="default"/>
          <w:pgSz w:w="11907" w:h="16840"/>
          <w:pgMar w:top="1984" w:right="1446" w:bottom="1644" w:left="1446" w:header="850" w:footer="992" w:gutter="0"/>
          <w:pgNumType w:fmt="decimal" w:start="1"/>
          <w:cols w:space="0" w:num="1"/>
          <w:rtlGutter w:val="0"/>
          <w:docGrid w:type="linesAndChars" w:linePitch="600" w:charSpace="0"/>
        </w:sectPr>
      </w:pPr>
      <w:r>
        <w:rPr>
          <w:rFonts w:hint="default" w:ascii="Times New Roman" w:hAnsi="Times New Roman" w:cs="Times New Roman" w:eastAsiaTheme="minorEastAsia"/>
          <w:b w:val="0"/>
          <w:bCs w:val="0"/>
          <w:color w:val="auto"/>
          <w:sz w:val="28"/>
          <w:szCs w:val="13"/>
          <w:highlight w:val="none"/>
          <w:shd w:val="clear" w:color="auto" w:fill="auto"/>
        </w:rPr>
        <w:t>二</w:t>
      </w:r>
      <w:r>
        <w:rPr>
          <w:rFonts w:hint="eastAsia" w:ascii="Times New Roman" w:hAnsi="Times New Roman" w:cs="Times New Roman" w:eastAsiaTheme="minorEastAsia"/>
          <w:b w:val="0"/>
          <w:bCs w:val="0"/>
          <w:color w:val="auto"/>
          <w:sz w:val="28"/>
          <w:szCs w:val="13"/>
          <w:highlight w:val="none"/>
          <w:shd w:val="clear" w:color="auto" w:fill="auto"/>
          <w:lang w:val="en-US" w:eastAsia="zh-CN"/>
        </w:rPr>
        <w:t>0</w:t>
      </w:r>
      <w:r>
        <w:rPr>
          <w:rFonts w:hint="default" w:ascii="Times New Roman" w:hAnsi="Times New Roman" w:cs="Times New Roman" w:eastAsiaTheme="minorEastAsia"/>
          <w:b w:val="0"/>
          <w:bCs w:val="0"/>
          <w:color w:val="auto"/>
          <w:sz w:val="28"/>
          <w:szCs w:val="13"/>
          <w:highlight w:val="none"/>
          <w:shd w:val="clear" w:color="auto" w:fill="auto"/>
        </w:rPr>
        <w:t>二</w:t>
      </w:r>
      <w:r>
        <w:rPr>
          <w:rFonts w:hint="default" w:ascii="Times New Roman" w:hAnsi="Times New Roman" w:cs="Times New Roman" w:eastAsiaTheme="minorEastAsia"/>
          <w:b w:val="0"/>
          <w:bCs w:val="0"/>
          <w:color w:val="auto"/>
          <w:sz w:val="28"/>
          <w:szCs w:val="13"/>
          <w:highlight w:val="none"/>
          <w:shd w:val="clear" w:color="auto" w:fill="auto"/>
          <w:lang w:val="en-US" w:eastAsia="zh-CN"/>
        </w:rPr>
        <w:t>五</w:t>
      </w:r>
      <w:r>
        <w:rPr>
          <w:rFonts w:hint="default" w:ascii="Times New Roman" w:hAnsi="Times New Roman" w:cs="Times New Roman" w:eastAsiaTheme="minorEastAsia"/>
          <w:b w:val="0"/>
          <w:bCs w:val="0"/>
          <w:color w:val="auto"/>
          <w:sz w:val="28"/>
          <w:szCs w:val="13"/>
          <w:highlight w:val="none"/>
          <w:shd w:val="clear" w:color="auto" w:fill="auto"/>
        </w:rPr>
        <w:t>年</w:t>
      </w:r>
      <w:r>
        <w:rPr>
          <w:rFonts w:hint="default" w:ascii="Times New Roman" w:hAnsi="Times New Roman" w:cs="Times New Roman" w:eastAsiaTheme="minorEastAsia"/>
          <w:b w:val="0"/>
          <w:bCs w:val="0"/>
          <w:color w:val="auto"/>
          <w:sz w:val="28"/>
          <w:szCs w:val="13"/>
          <w:highlight w:val="none"/>
          <w:shd w:val="clear" w:color="auto" w:fill="auto"/>
          <w:lang w:val="en-US" w:eastAsia="zh-CN"/>
        </w:rPr>
        <w:t>十二</w:t>
      </w:r>
      <w:r>
        <w:rPr>
          <w:rFonts w:hint="default" w:ascii="Times New Roman" w:hAnsi="Times New Roman" w:cs="Times New Roman" w:eastAsiaTheme="minorEastAsia"/>
          <w:b w:val="0"/>
          <w:bCs w:val="0"/>
          <w:color w:val="auto"/>
          <w:sz w:val="28"/>
          <w:szCs w:val="13"/>
          <w:highlight w:val="none"/>
          <w:shd w:val="clear" w:color="auto" w:fill="auto"/>
        </w:rPr>
        <w:t>月</w:t>
      </w:r>
    </w:p>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b w:val="0"/>
          <w:bCs w:val="0"/>
          <w:sz w:val="40"/>
          <w:szCs w:val="24"/>
        </w:rPr>
      </w:pPr>
      <w:r>
        <w:rPr>
          <w:rFonts w:hint="eastAsia" w:ascii="方正黑体_GBK" w:hAnsi="方正黑体_GBK" w:eastAsia="方正黑体_GBK" w:cs="方正黑体_GBK"/>
          <w:b w:val="0"/>
          <w:bCs w:val="0"/>
          <w:sz w:val="28"/>
          <w:szCs w:val="24"/>
        </w:rPr>
        <w:t>目</w:t>
      </w:r>
      <w:r>
        <w:rPr>
          <w:rFonts w:hint="eastAsia" w:ascii="方正黑体_GBK" w:hAnsi="方正黑体_GBK" w:eastAsia="方正黑体_GBK" w:cs="方正黑体_GBK"/>
          <w:b w:val="0"/>
          <w:bCs w:val="0"/>
          <w:sz w:val="28"/>
          <w:szCs w:val="24"/>
          <w:lang w:val="en-US" w:eastAsia="zh-CN"/>
        </w:rPr>
        <w:t xml:space="preserve"> </w:t>
      </w:r>
      <w:r>
        <w:rPr>
          <w:rFonts w:hint="eastAsia" w:ascii="方正黑体_GBK" w:hAnsi="方正黑体_GBK" w:eastAsia="方正黑体_GBK" w:cs="方正黑体_GBK"/>
          <w:b w:val="0"/>
          <w:bCs w:val="0"/>
          <w:sz w:val="28"/>
          <w:szCs w:val="24"/>
        </w:rPr>
        <w:t>录</w:t>
      </w:r>
    </w:p>
    <w:p>
      <w:pPr>
        <w:pStyle w:val="8"/>
        <w:tabs>
          <w:tab w:val="right" w:leader="dot" w:pos="9412"/>
          <w:tab w:val="clear" w:pos="1260"/>
          <w:tab w:val="clear" w:pos="1685"/>
          <w:tab w:val="clear" w:pos="8400"/>
        </w:tabs>
        <w:rPr>
          <w:sz w:val="24"/>
          <w:szCs w:val="21"/>
        </w:rPr>
      </w:pPr>
      <w:r>
        <w:rPr>
          <w:rFonts w:hint="default" w:ascii="Times New Roman" w:hAnsi="Times New Roman" w:eastAsia="仿宋" w:cs="Times New Roman"/>
          <w:color w:val="auto"/>
          <w:sz w:val="20"/>
          <w:szCs w:val="20"/>
          <w:highlight w:val="none"/>
          <w:shd w:val="clear" w:color="auto" w:fill="auto"/>
        </w:rPr>
        <w:fldChar w:fldCharType="begin"/>
      </w:r>
      <w:r>
        <w:rPr>
          <w:rFonts w:hint="default" w:ascii="Times New Roman" w:hAnsi="Times New Roman" w:eastAsia="仿宋" w:cs="Times New Roman"/>
          <w:color w:val="auto"/>
          <w:sz w:val="20"/>
          <w:szCs w:val="20"/>
          <w:highlight w:val="none"/>
          <w:shd w:val="clear" w:color="auto" w:fill="auto"/>
        </w:rPr>
        <w:instrText xml:space="preserve">TOC \o "1-2" \h \u </w:instrText>
      </w:r>
      <w:r>
        <w:rPr>
          <w:rFonts w:hint="default" w:ascii="Times New Roman" w:hAnsi="Times New Roman" w:eastAsia="仿宋" w:cs="Times New Roman"/>
          <w:color w:val="auto"/>
          <w:sz w:val="20"/>
          <w:szCs w:val="20"/>
          <w:highlight w:val="none"/>
          <w:shd w:val="clear" w:color="auto" w:fill="auto"/>
        </w:rPr>
        <w:fldChar w:fldCharType="separate"/>
      </w: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_Toc23961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z w:val="24"/>
          <w:szCs w:val="21"/>
          <w:highlight w:val="none"/>
          <w:shd w:val="clear" w:color="auto" w:fill="auto"/>
        </w:rPr>
        <w:t>第一篇</w:t>
      </w:r>
      <w:r>
        <w:rPr>
          <w:rFonts w:hint="default" w:ascii="Times New Roman" w:hAnsi="Times New Roman" w:eastAsia="方正黑体_GBK" w:cs="Times New Roman"/>
          <w:bCs/>
          <w:sz w:val="24"/>
          <w:szCs w:val="21"/>
          <w:highlight w:val="none"/>
          <w:shd w:val="clear" w:color="auto" w:fill="auto"/>
          <w:lang w:val="en-US" w:eastAsia="zh-CN"/>
        </w:rPr>
        <w:t xml:space="preserve"> </w:t>
      </w:r>
      <w:r>
        <w:rPr>
          <w:rFonts w:hint="default" w:ascii="Times New Roman" w:hAnsi="Times New Roman" w:eastAsia="方正黑体_GBK" w:cs="Times New Roman"/>
          <w:bCs/>
          <w:sz w:val="24"/>
          <w:szCs w:val="21"/>
          <w:highlight w:val="none"/>
          <w:shd w:val="clear" w:color="auto" w:fill="auto"/>
          <w:lang w:eastAsia="zh-CN"/>
        </w:rPr>
        <w:t>比选</w:t>
      </w:r>
      <w:r>
        <w:rPr>
          <w:rFonts w:hint="default" w:ascii="Times New Roman" w:hAnsi="Times New Roman" w:eastAsia="方正黑体_GBK" w:cs="Times New Roman"/>
          <w:bCs/>
          <w:sz w:val="24"/>
          <w:szCs w:val="21"/>
          <w:highlight w:val="none"/>
          <w:shd w:val="clear" w:color="auto" w:fill="auto"/>
          <w:lang w:val="en-US" w:eastAsia="zh-CN"/>
        </w:rPr>
        <w:t>公告</w:t>
      </w:r>
      <w:r>
        <w:rPr>
          <w:sz w:val="24"/>
          <w:szCs w:val="21"/>
        </w:rPr>
        <w:tab/>
      </w:r>
      <w:r>
        <w:rPr>
          <w:sz w:val="24"/>
          <w:szCs w:val="21"/>
        </w:rPr>
        <w:fldChar w:fldCharType="begin"/>
      </w:r>
      <w:r>
        <w:rPr>
          <w:sz w:val="24"/>
          <w:szCs w:val="21"/>
        </w:rPr>
        <w:instrText xml:space="preserve"> PAGEREF _Toc23961 \h </w:instrText>
      </w:r>
      <w:r>
        <w:rPr>
          <w:sz w:val="24"/>
          <w:szCs w:val="21"/>
        </w:rPr>
        <w:fldChar w:fldCharType="separate"/>
      </w:r>
      <w:r>
        <w:rPr>
          <w:sz w:val="24"/>
          <w:szCs w:val="21"/>
        </w:rPr>
        <w:t>1</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_Toc15899 </w:instrText>
      </w:r>
      <w:r>
        <w:rPr>
          <w:rFonts w:hint="default" w:ascii="Times New Roman" w:hAnsi="Times New Roman" w:eastAsia="仿宋" w:cs="Times New Roman"/>
          <w:sz w:val="24"/>
          <w:szCs w:val="20"/>
          <w:highlight w:val="none"/>
          <w:shd w:val="clear" w:color="auto" w:fill="auto"/>
        </w:rPr>
        <w:fldChar w:fldCharType="separate"/>
      </w:r>
      <w:r>
        <w:rPr>
          <w:rFonts w:hint="default" w:ascii="宋体" w:hAnsi="宋体" w:eastAsia="宋体" w:cs="宋体"/>
          <w:sz w:val="24"/>
          <w:szCs w:val="22"/>
          <w:shd w:val="clear" w:fill="auto"/>
        </w:rPr>
        <w:t xml:space="preserve">1.1 </w:t>
      </w:r>
      <w:r>
        <w:rPr>
          <w:rFonts w:hint="default" w:ascii="Times New Roman" w:hAnsi="Times New Roman" w:eastAsia="方正楷体_GBK" w:cs="Times New Roman"/>
          <w:sz w:val="24"/>
          <w:szCs w:val="22"/>
          <w:highlight w:val="none"/>
          <w:shd w:val="clear" w:color="auto" w:fill="auto"/>
          <w:lang w:eastAsia="zh-CN"/>
        </w:rPr>
        <w:t>项目概况及主要工作内容</w:t>
      </w:r>
      <w:r>
        <w:rPr>
          <w:sz w:val="24"/>
          <w:szCs w:val="21"/>
        </w:rPr>
        <w:tab/>
      </w:r>
      <w:r>
        <w:rPr>
          <w:sz w:val="24"/>
          <w:szCs w:val="21"/>
        </w:rPr>
        <w:fldChar w:fldCharType="begin"/>
      </w:r>
      <w:r>
        <w:rPr>
          <w:sz w:val="24"/>
          <w:szCs w:val="21"/>
        </w:rPr>
        <w:instrText xml:space="preserve"> PAGEREF _Toc15899 \h </w:instrText>
      </w:r>
      <w:r>
        <w:rPr>
          <w:sz w:val="24"/>
          <w:szCs w:val="21"/>
        </w:rPr>
        <w:fldChar w:fldCharType="separate"/>
      </w:r>
      <w:r>
        <w:rPr>
          <w:sz w:val="24"/>
          <w:szCs w:val="21"/>
        </w:rPr>
        <w:t>1</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_Toc29944 </w:instrText>
      </w:r>
      <w:r>
        <w:rPr>
          <w:rFonts w:hint="default" w:ascii="Times New Roman" w:hAnsi="Times New Roman" w:eastAsia="仿宋" w:cs="Times New Roman"/>
          <w:sz w:val="24"/>
          <w:szCs w:val="20"/>
          <w:highlight w:val="none"/>
          <w:shd w:val="clear" w:color="auto" w:fill="auto"/>
        </w:rPr>
        <w:fldChar w:fldCharType="separate"/>
      </w:r>
      <w:r>
        <w:rPr>
          <w:rFonts w:hint="default" w:ascii="宋体" w:hAnsi="宋体" w:eastAsia="宋体" w:cs="宋体"/>
          <w:sz w:val="24"/>
          <w:szCs w:val="22"/>
          <w:shd w:val="clear" w:fill="auto"/>
          <w:lang w:eastAsia="zh-CN"/>
        </w:rPr>
        <w:t xml:space="preserve">1.2 </w:t>
      </w:r>
      <w:r>
        <w:rPr>
          <w:rFonts w:hint="default" w:ascii="Times New Roman" w:hAnsi="Times New Roman" w:eastAsia="方正楷体_GBK" w:cs="Times New Roman"/>
          <w:sz w:val="24"/>
          <w:szCs w:val="22"/>
          <w:highlight w:val="none"/>
          <w:shd w:val="clear" w:color="auto" w:fill="auto"/>
          <w:lang w:eastAsia="zh-CN"/>
        </w:rPr>
        <w:t>供应商资格条件</w:t>
      </w:r>
      <w:r>
        <w:rPr>
          <w:sz w:val="24"/>
          <w:szCs w:val="21"/>
        </w:rPr>
        <w:tab/>
      </w:r>
      <w:r>
        <w:rPr>
          <w:sz w:val="24"/>
          <w:szCs w:val="21"/>
        </w:rPr>
        <w:fldChar w:fldCharType="begin"/>
      </w:r>
      <w:r>
        <w:rPr>
          <w:sz w:val="24"/>
          <w:szCs w:val="21"/>
        </w:rPr>
        <w:instrText xml:space="preserve"> PAGEREF _Toc29944 \h </w:instrText>
      </w:r>
      <w:r>
        <w:rPr>
          <w:sz w:val="24"/>
          <w:szCs w:val="21"/>
        </w:rPr>
        <w:fldChar w:fldCharType="separate"/>
      </w:r>
      <w:r>
        <w:rPr>
          <w:sz w:val="24"/>
          <w:szCs w:val="21"/>
        </w:rPr>
        <w:t>1</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_Toc7590 </w:instrText>
      </w:r>
      <w:r>
        <w:rPr>
          <w:rFonts w:hint="default" w:ascii="Times New Roman" w:hAnsi="Times New Roman" w:eastAsia="仿宋" w:cs="Times New Roman"/>
          <w:sz w:val="24"/>
          <w:szCs w:val="20"/>
          <w:highlight w:val="none"/>
          <w:shd w:val="clear" w:color="auto" w:fill="auto"/>
        </w:rPr>
        <w:fldChar w:fldCharType="separate"/>
      </w:r>
      <w:r>
        <w:rPr>
          <w:rFonts w:hint="default" w:ascii="宋体" w:hAnsi="宋体" w:eastAsia="宋体" w:cs="宋体"/>
          <w:sz w:val="24"/>
          <w:szCs w:val="22"/>
          <w:shd w:val="clear" w:fill="auto"/>
          <w:lang w:eastAsia="zh-CN"/>
        </w:rPr>
        <w:t xml:space="preserve">1.3 </w:t>
      </w:r>
      <w:r>
        <w:rPr>
          <w:rFonts w:hint="default" w:ascii="Times New Roman" w:hAnsi="Times New Roman" w:eastAsia="方正楷体_GBK" w:cs="Times New Roman"/>
          <w:sz w:val="24"/>
          <w:szCs w:val="22"/>
          <w:highlight w:val="none"/>
          <w:shd w:val="clear" w:color="auto" w:fill="auto"/>
          <w:lang w:eastAsia="zh-CN"/>
        </w:rPr>
        <w:t>比选有关说明</w:t>
      </w:r>
      <w:r>
        <w:rPr>
          <w:sz w:val="24"/>
          <w:szCs w:val="21"/>
        </w:rPr>
        <w:tab/>
      </w:r>
      <w:r>
        <w:rPr>
          <w:sz w:val="24"/>
          <w:szCs w:val="21"/>
        </w:rPr>
        <w:fldChar w:fldCharType="begin"/>
      </w:r>
      <w:r>
        <w:rPr>
          <w:sz w:val="24"/>
          <w:szCs w:val="21"/>
        </w:rPr>
        <w:instrText xml:space="preserve"> PAGEREF _Toc7590 \h </w:instrText>
      </w:r>
      <w:r>
        <w:rPr>
          <w:sz w:val="24"/>
          <w:szCs w:val="21"/>
        </w:rPr>
        <w:fldChar w:fldCharType="separate"/>
      </w:r>
      <w:r>
        <w:rPr>
          <w:sz w:val="24"/>
          <w:szCs w:val="21"/>
        </w:rPr>
        <w:t>1</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_Toc30839 </w:instrText>
      </w:r>
      <w:r>
        <w:rPr>
          <w:rFonts w:hint="default" w:ascii="Times New Roman" w:hAnsi="Times New Roman" w:eastAsia="仿宋" w:cs="Times New Roman"/>
          <w:sz w:val="24"/>
          <w:szCs w:val="20"/>
          <w:highlight w:val="none"/>
          <w:shd w:val="clear" w:color="auto" w:fill="auto"/>
        </w:rPr>
        <w:fldChar w:fldCharType="separate"/>
      </w:r>
      <w:r>
        <w:rPr>
          <w:rFonts w:hint="default" w:ascii="宋体" w:hAnsi="宋体" w:eastAsia="宋体" w:cs="宋体"/>
          <w:sz w:val="24"/>
          <w:szCs w:val="22"/>
          <w:shd w:val="clear" w:fill="auto"/>
          <w:lang w:eastAsia="zh-CN"/>
        </w:rPr>
        <w:t xml:space="preserve">1.4 </w:t>
      </w:r>
      <w:r>
        <w:rPr>
          <w:rFonts w:hint="default" w:ascii="Times New Roman" w:hAnsi="Times New Roman" w:eastAsia="方正楷体_GBK" w:cs="Times New Roman"/>
          <w:sz w:val="24"/>
          <w:szCs w:val="22"/>
          <w:highlight w:val="none"/>
          <w:shd w:val="clear" w:color="auto" w:fill="auto"/>
          <w:lang w:eastAsia="zh-CN"/>
        </w:rPr>
        <w:t>比选保证金</w:t>
      </w:r>
      <w:r>
        <w:rPr>
          <w:sz w:val="24"/>
          <w:szCs w:val="21"/>
        </w:rPr>
        <w:tab/>
      </w:r>
      <w:r>
        <w:rPr>
          <w:sz w:val="24"/>
          <w:szCs w:val="21"/>
        </w:rPr>
        <w:fldChar w:fldCharType="begin"/>
      </w:r>
      <w:r>
        <w:rPr>
          <w:sz w:val="24"/>
          <w:szCs w:val="21"/>
        </w:rPr>
        <w:instrText xml:space="preserve"> PAGEREF _Toc30839 \h </w:instrText>
      </w:r>
      <w:r>
        <w:rPr>
          <w:sz w:val="24"/>
          <w:szCs w:val="21"/>
        </w:rPr>
        <w:fldChar w:fldCharType="separate"/>
      </w:r>
      <w:r>
        <w:rPr>
          <w:sz w:val="24"/>
          <w:szCs w:val="21"/>
        </w:rPr>
        <w:t>2</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_Toc29543 </w:instrText>
      </w:r>
      <w:r>
        <w:rPr>
          <w:rFonts w:hint="default" w:ascii="Times New Roman" w:hAnsi="Times New Roman" w:eastAsia="仿宋" w:cs="Times New Roman"/>
          <w:sz w:val="24"/>
          <w:szCs w:val="20"/>
          <w:highlight w:val="none"/>
          <w:shd w:val="clear" w:color="auto" w:fill="auto"/>
        </w:rPr>
        <w:fldChar w:fldCharType="separate"/>
      </w:r>
      <w:r>
        <w:rPr>
          <w:rFonts w:hint="default" w:ascii="宋体" w:hAnsi="宋体" w:eastAsia="宋体" w:cs="宋体"/>
          <w:sz w:val="24"/>
          <w:szCs w:val="22"/>
          <w:shd w:val="clear" w:fill="auto"/>
          <w:lang w:eastAsia="zh-CN"/>
        </w:rPr>
        <w:t xml:space="preserve">1.5 </w:t>
      </w:r>
      <w:r>
        <w:rPr>
          <w:rFonts w:hint="default" w:ascii="Times New Roman" w:hAnsi="Times New Roman" w:eastAsia="方正楷体_GBK" w:cs="Times New Roman"/>
          <w:sz w:val="24"/>
          <w:szCs w:val="22"/>
          <w:highlight w:val="none"/>
          <w:shd w:val="clear" w:color="auto" w:fill="auto"/>
          <w:lang w:eastAsia="zh-CN"/>
        </w:rPr>
        <w:t>其他有关规定</w:t>
      </w:r>
      <w:r>
        <w:rPr>
          <w:sz w:val="24"/>
          <w:szCs w:val="21"/>
        </w:rPr>
        <w:tab/>
      </w:r>
      <w:r>
        <w:rPr>
          <w:sz w:val="24"/>
          <w:szCs w:val="21"/>
        </w:rPr>
        <w:fldChar w:fldCharType="begin"/>
      </w:r>
      <w:r>
        <w:rPr>
          <w:sz w:val="24"/>
          <w:szCs w:val="21"/>
        </w:rPr>
        <w:instrText xml:space="preserve"> PAGEREF _Toc29543 \h </w:instrText>
      </w:r>
      <w:r>
        <w:rPr>
          <w:sz w:val="24"/>
          <w:szCs w:val="21"/>
        </w:rPr>
        <w:fldChar w:fldCharType="separate"/>
      </w:r>
      <w:r>
        <w:rPr>
          <w:sz w:val="24"/>
          <w:szCs w:val="21"/>
        </w:rPr>
        <w:t>2</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_Toc671 </w:instrText>
      </w:r>
      <w:r>
        <w:rPr>
          <w:rFonts w:hint="default" w:ascii="Times New Roman" w:hAnsi="Times New Roman" w:eastAsia="仿宋" w:cs="Times New Roman"/>
          <w:sz w:val="24"/>
          <w:szCs w:val="20"/>
          <w:highlight w:val="none"/>
          <w:shd w:val="clear" w:color="auto" w:fill="auto"/>
        </w:rPr>
        <w:fldChar w:fldCharType="separate"/>
      </w:r>
      <w:r>
        <w:rPr>
          <w:rFonts w:hint="default" w:ascii="宋体" w:hAnsi="宋体" w:eastAsia="宋体" w:cs="宋体"/>
          <w:sz w:val="24"/>
          <w:szCs w:val="22"/>
          <w:shd w:val="clear" w:fill="auto"/>
          <w:lang w:eastAsia="zh-CN"/>
        </w:rPr>
        <w:t xml:space="preserve">1.6 </w:t>
      </w:r>
      <w:r>
        <w:rPr>
          <w:rFonts w:hint="default" w:ascii="Times New Roman" w:hAnsi="Times New Roman" w:eastAsia="方正楷体_GBK" w:cs="Times New Roman"/>
          <w:sz w:val="24"/>
          <w:szCs w:val="22"/>
          <w:highlight w:val="none"/>
          <w:shd w:val="clear" w:color="auto" w:fill="auto"/>
          <w:lang w:eastAsia="zh-CN"/>
        </w:rPr>
        <w:t>联系方式</w:t>
      </w:r>
      <w:r>
        <w:rPr>
          <w:sz w:val="24"/>
          <w:szCs w:val="21"/>
        </w:rPr>
        <w:tab/>
      </w:r>
      <w:r>
        <w:rPr>
          <w:sz w:val="24"/>
          <w:szCs w:val="21"/>
        </w:rPr>
        <w:fldChar w:fldCharType="begin"/>
      </w:r>
      <w:r>
        <w:rPr>
          <w:sz w:val="24"/>
          <w:szCs w:val="21"/>
        </w:rPr>
        <w:instrText xml:space="preserve"> PAGEREF _Toc671 \h </w:instrText>
      </w:r>
      <w:r>
        <w:rPr>
          <w:sz w:val="24"/>
          <w:szCs w:val="21"/>
        </w:rPr>
        <w:fldChar w:fldCharType="separate"/>
      </w:r>
      <w:r>
        <w:rPr>
          <w:sz w:val="24"/>
          <w:szCs w:val="21"/>
        </w:rPr>
        <w:t>2</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8"/>
        <w:tabs>
          <w:tab w:val="right" w:leader="dot" w:pos="9412"/>
          <w:tab w:val="clear" w:pos="1260"/>
          <w:tab w:val="clear" w:pos="1685"/>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_Toc11855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kern w:val="44"/>
          <w:sz w:val="24"/>
          <w:szCs w:val="21"/>
          <w:highlight w:val="none"/>
          <w:shd w:val="clear" w:color="auto" w:fill="auto"/>
          <w:lang w:val="en-US" w:eastAsia="zh-CN" w:bidi="ar-SA"/>
        </w:rPr>
        <w:t>第二篇 供应商须知</w:t>
      </w:r>
      <w:r>
        <w:rPr>
          <w:sz w:val="24"/>
          <w:szCs w:val="21"/>
        </w:rPr>
        <w:tab/>
      </w:r>
      <w:r>
        <w:rPr>
          <w:sz w:val="24"/>
          <w:szCs w:val="21"/>
        </w:rPr>
        <w:fldChar w:fldCharType="begin"/>
      </w:r>
      <w:r>
        <w:rPr>
          <w:sz w:val="24"/>
          <w:szCs w:val="21"/>
        </w:rPr>
        <w:instrText xml:space="preserve"> PAGEREF _Toc11855 \h </w:instrText>
      </w:r>
      <w:r>
        <w:rPr>
          <w:sz w:val="24"/>
          <w:szCs w:val="21"/>
        </w:rPr>
        <w:fldChar w:fldCharType="separate"/>
      </w:r>
      <w:r>
        <w:rPr>
          <w:sz w:val="24"/>
          <w:szCs w:val="21"/>
        </w:rPr>
        <w:t>4</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_Toc21219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napToGrid w:val="0"/>
          <w:spacing w:val="1"/>
          <w:w w:val="99"/>
          <w:kern w:val="2"/>
          <w:sz w:val="24"/>
          <w:szCs w:val="22"/>
          <w:highlight w:val="none"/>
          <w:lang w:val="en-US" w:eastAsia="zh-CN" w:bidi="ar-SA"/>
        </w:rPr>
        <w:t>一、总则</w:t>
      </w:r>
      <w:r>
        <w:rPr>
          <w:sz w:val="24"/>
          <w:szCs w:val="21"/>
        </w:rPr>
        <w:tab/>
      </w:r>
      <w:r>
        <w:rPr>
          <w:sz w:val="24"/>
          <w:szCs w:val="21"/>
        </w:rPr>
        <w:fldChar w:fldCharType="begin"/>
      </w:r>
      <w:r>
        <w:rPr>
          <w:sz w:val="24"/>
          <w:szCs w:val="21"/>
        </w:rPr>
        <w:instrText xml:space="preserve"> PAGEREF _Toc21219 \h </w:instrText>
      </w:r>
      <w:r>
        <w:rPr>
          <w:sz w:val="24"/>
          <w:szCs w:val="21"/>
        </w:rPr>
        <w:fldChar w:fldCharType="separate"/>
      </w:r>
      <w:r>
        <w:rPr>
          <w:sz w:val="24"/>
          <w:szCs w:val="21"/>
        </w:rPr>
        <w:t>4</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_Toc4907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napToGrid w:val="0"/>
          <w:spacing w:val="1"/>
          <w:w w:val="99"/>
          <w:kern w:val="2"/>
          <w:sz w:val="24"/>
          <w:szCs w:val="22"/>
          <w:highlight w:val="none"/>
          <w:lang w:val="en-US" w:eastAsia="zh-CN" w:bidi="ar-SA"/>
        </w:rPr>
        <w:t>二、竞争性比选文件</w:t>
      </w:r>
      <w:r>
        <w:rPr>
          <w:sz w:val="24"/>
          <w:szCs w:val="21"/>
        </w:rPr>
        <w:tab/>
      </w:r>
      <w:r>
        <w:rPr>
          <w:sz w:val="24"/>
          <w:szCs w:val="21"/>
        </w:rPr>
        <w:fldChar w:fldCharType="begin"/>
      </w:r>
      <w:r>
        <w:rPr>
          <w:sz w:val="24"/>
          <w:szCs w:val="21"/>
        </w:rPr>
        <w:instrText xml:space="preserve"> PAGEREF _Toc4907 \h </w:instrText>
      </w:r>
      <w:r>
        <w:rPr>
          <w:sz w:val="24"/>
          <w:szCs w:val="21"/>
        </w:rPr>
        <w:fldChar w:fldCharType="separate"/>
      </w:r>
      <w:r>
        <w:rPr>
          <w:sz w:val="24"/>
          <w:szCs w:val="21"/>
        </w:rPr>
        <w:t>6</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_Toc6524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napToGrid w:val="0"/>
          <w:spacing w:val="1"/>
          <w:w w:val="99"/>
          <w:kern w:val="2"/>
          <w:sz w:val="24"/>
          <w:szCs w:val="22"/>
          <w:highlight w:val="none"/>
          <w:lang w:val="en-US" w:eastAsia="zh-CN" w:bidi="ar-SA"/>
        </w:rPr>
        <w:t>三、响应文件</w:t>
      </w:r>
      <w:r>
        <w:rPr>
          <w:sz w:val="24"/>
          <w:szCs w:val="21"/>
        </w:rPr>
        <w:tab/>
      </w:r>
      <w:r>
        <w:rPr>
          <w:sz w:val="24"/>
          <w:szCs w:val="21"/>
        </w:rPr>
        <w:fldChar w:fldCharType="begin"/>
      </w:r>
      <w:r>
        <w:rPr>
          <w:sz w:val="24"/>
          <w:szCs w:val="21"/>
        </w:rPr>
        <w:instrText xml:space="preserve"> PAGEREF _Toc6524 \h </w:instrText>
      </w:r>
      <w:r>
        <w:rPr>
          <w:sz w:val="24"/>
          <w:szCs w:val="21"/>
        </w:rPr>
        <w:fldChar w:fldCharType="separate"/>
      </w:r>
      <w:r>
        <w:rPr>
          <w:sz w:val="24"/>
          <w:szCs w:val="21"/>
        </w:rPr>
        <w:t>6</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_Toc32126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napToGrid w:val="0"/>
          <w:spacing w:val="1"/>
          <w:w w:val="99"/>
          <w:kern w:val="2"/>
          <w:sz w:val="24"/>
          <w:szCs w:val="22"/>
          <w:highlight w:val="none"/>
          <w:lang w:val="en-US" w:eastAsia="zh-CN" w:bidi="ar-SA"/>
        </w:rPr>
        <w:t>四、比选程序</w:t>
      </w:r>
      <w:r>
        <w:rPr>
          <w:sz w:val="24"/>
          <w:szCs w:val="21"/>
        </w:rPr>
        <w:tab/>
      </w:r>
      <w:r>
        <w:rPr>
          <w:sz w:val="24"/>
          <w:szCs w:val="21"/>
        </w:rPr>
        <w:fldChar w:fldCharType="begin"/>
      </w:r>
      <w:r>
        <w:rPr>
          <w:sz w:val="24"/>
          <w:szCs w:val="21"/>
        </w:rPr>
        <w:instrText xml:space="preserve"> PAGEREF _Toc32126 \h </w:instrText>
      </w:r>
      <w:r>
        <w:rPr>
          <w:sz w:val="24"/>
          <w:szCs w:val="21"/>
        </w:rPr>
        <w:fldChar w:fldCharType="separate"/>
      </w:r>
      <w:r>
        <w:rPr>
          <w:sz w:val="24"/>
          <w:szCs w:val="21"/>
        </w:rPr>
        <w:t>8</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_Toc18243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napToGrid w:val="0"/>
          <w:spacing w:val="1"/>
          <w:w w:val="99"/>
          <w:kern w:val="2"/>
          <w:sz w:val="24"/>
          <w:szCs w:val="22"/>
          <w:highlight w:val="none"/>
          <w:lang w:val="en-US" w:eastAsia="zh-CN" w:bidi="ar-SA"/>
        </w:rPr>
        <w:t>五、评审</w:t>
      </w:r>
      <w:r>
        <w:rPr>
          <w:sz w:val="24"/>
          <w:szCs w:val="21"/>
        </w:rPr>
        <w:tab/>
      </w:r>
      <w:r>
        <w:rPr>
          <w:sz w:val="24"/>
          <w:szCs w:val="21"/>
        </w:rPr>
        <w:fldChar w:fldCharType="begin"/>
      </w:r>
      <w:r>
        <w:rPr>
          <w:sz w:val="24"/>
          <w:szCs w:val="21"/>
        </w:rPr>
        <w:instrText xml:space="preserve"> PAGEREF _Toc18243 \h </w:instrText>
      </w:r>
      <w:r>
        <w:rPr>
          <w:sz w:val="24"/>
          <w:szCs w:val="21"/>
        </w:rPr>
        <w:fldChar w:fldCharType="separate"/>
      </w:r>
      <w:r>
        <w:rPr>
          <w:sz w:val="24"/>
          <w:szCs w:val="21"/>
        </w:rPr>
        <w:t>8</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_Toc14467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napToGrid w:val="0"/>
          <w:spacing w:val="1"/>
          <w:w w:val="99"/>
          <w:kern w:val="2"/>
          <w:sz w:val="24"/>
          <w:szCs w:val="22"/>
          <w:highlight w:val="none"/>
          <w:lang w:val="en-US" w:eastAsia="zh-CN" w:bidi="ar-SA"/>
        </w:rPr>
        <w:t>六、合同授予</w:t>
      </w:r>
      <w:r>
        <w:rPr>
          <w:sz w:val="24"/>
          <w:szCs w:val="21"/>
        </w:rPr>
        <w:tab/>
      </w:r>
      <w:r>
        <w:rPr>
          <w:sz w:val="24"/>
          <w:szCs w:val="21"/>
        </w:rPr>
        <w:fldChar w:fldCharType="begin"/>
      </w:r>
      <w:r>
        <w:rPr>
          <w:sz w:val="24"/>
          <w:szCs w:val="21"/>
        </w:rPr>
        <w:instrText xml:space="preserve"> PAGEREF _Toc14467 \h </w:instrText>
      </w:r>
      <w:r>
        <w:rPr>
          <w:sz w:val="24"/>
          <w:szCs w:val="21"/>
        </w:rPr>
        <w:fldChar w:fldCharType="separate"/>
      </w:r>
      <w:r>
        <w:rPr>
          <w:sz w:val="24"/>
          <w:szCs w:val="21"/>
        </w:rPr>
        <w:t>9</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_Toc10569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napToGrid w:val="0"/>
          <w:spacing w:val="1"/>
          <w:w w:val="99"/>
          <w:kern w:val="2"/>
          <w:sz w:val="24"/>
          <w:szCs w:val="22"/>
          <w:highlight w:val="none"/>
          <w:lang w:val="en-US" w:eastAsia="zh-CN" w:bidi="ar-SA"/>
        </w:rPr>
        <w:t>七、纪律和监督</w:t>
      </w:r>
      <w:r>
        <w:rPr>
          <w:sz w:val="24"/>
          <w:szCs w:val="21"/>
        </w:rPr>
        <w:tab/>
      </w:r>
      <w:r>
        <w:rPr>
          <w:sz w:val="24"/>
          <w:szCs w:val="21"/>
        </w:rPr>
        <w:fldChar w:fldCharType="begin"/>
      </w:r>
      <w:r>
        <w:rPr>
          <w:sz w:val="24"/>
          <w:szCs w:val="21"/>
        </w:rPr>
        <w:instrText xml:space="preserve"> PAGEREF _Toc10569 \h </w:instrText>
      </w:r>
      <w:r>
        <w:rPr>
          <w:sz w:val="24"/>
          <w:szCs w:val="21"/>
        </w:rPr>
        <w:fldChar w:fldCharType="separate"/>
      </w:r>
      <w:r>
        <w:rPr>
          <w:sz w:val="24"/>
          <w:szCs w:val="21"/>
        </w:rPr>
        <w:t>9</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_Toc14552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snapToGrid w:val="0"/>
          <w:spacing w:val="1"/>
          <w:w w:val="99"/>
          <w:kern w:val="2"/>
          <w:sz w:val="24"/>
          <w:szCs w:val="22"/>
          <w:highlight w:val="none"/>
          <w:lang w:val="en-US" w:eastAsia="zh-CN" w:bidi="ar-SA"/>
        </w:rPr>
        <w:t>八、其他内容</w:t>
      </w:r>
      <w:r>
        <w:rPr>
          <w:sz w:val="24"/>
          <w:szCs w:val="21"/>
        </w:rPr>
        <w:tab/>
      </w:r>
      <w:r>
        <w:rPr>
          <w:sz w:val="24"/>
          <w:szCs w:val="21"/>
        </w:rPr>
        <w:fldChar w:fldCharType="begin"/>
      </w:r>
      <w:r>
        <w:rPr>
          <w:sz w:val="24"/>
          <w:szCs w:val="21"/>
        </w:rPr>
        <w:instrText xml:space="preserve"> PAGEREF _Toc14552 \h </w:instrText>
      </w:r>
      <w:r>
        <w:rPr>
          <w:sz w:val="24"/>
          <w:szCs w:val="21"/>
        </w:rPr>
        <w:fldChar w:fldCharType="separate"/>
      </w:r>
      <w:r>
        <w:rPr>
          <w:sz w:val="24"/>
          <w:szCs w:val="21"/>
        </w:rPr>
        <w:t>10</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8"/>
        <w:tabs>
          <w:tab w:val="right" w:leader="dot" w:pos="9412"/>
          <w:tab w:val="clear" w:pos="1260"/>
          <w:tab w:val="clear" w:pos="1685"/>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_Toc5688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kern w:val="44"/>
          <w:sz w:val="24"/>
          <w:szCs w:val="21"/>
          <w:highlight w:val="none"/>
          <w:shd w:val="clear" w:color="auto" w:fill="auto"/>
          <w:lang w:val="en-US" w:eastAsia="zh-CN" w:bidi="ar-SA"/>
        </w:rPr>
        <w:t>第三篇  评审办法</w:t>
      </w:r>
      <w:r>
        <w:rPr>
          <w:sz w:val="24"/>
          <w:szCs w:val="21"/>
        </w:rPr>
        <w:tab/>
      </w:r>
      <w:r>
        <w:rPr>
          <w:sz w:val="24"/>
          <w:szCs w:val="21"/>
        </w:rPr>
        <w:fldChar w:fldCharType="begin"/>
      </w:r>
      <w:r>
        <w:rPr>
          <w:sz w:val="24"/>
          <w:szCs w:val="21"/>
        </w:rPr>
        <w:instrText xml:space="preserve"> PAGEREF _Toc5688 \h </w:instrText>
      </w:r>
      <w:r>
        <w:rPr>
          <w:sz w:val="24"/>
          <w:szCs w:val="21"/>
        </w:rPr>
        <w:fldChar w:fldCharType="separate"/>
      </w:r>
      <w:r>
        <w:rPr>
          <w:sz w:val="24"/>
          <w:szCs w:val="21"/>
        </w:rPr>
        <w:t>12</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8"/>
        <w:tabs>
          <w:tab w:val="right" w:leader="dot" w:pos="9412"/>
          <w:tab w:val="clear" w:pos="1260"/>
          <w:tab w:val="clear" w:pos="1685"/>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_Toc1246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kern w:val="44"/>
          <w:sz w:val="24"/>
          <w:szCs w:val="21"/>
          <w:highlight w:val="none"/>
          <w:shd w:val="clear" w:color="auto" w:fill="auto"/>
          <w:lang w:val="en-US" w:eastAsia="zh-CN" w:bidi="ar-SA"/>
        </w:rPr>
        <w:t>第四篇 合同条款及格式</w:t>
      </w:r>
      <w:r>
        <w:rPr>
          <w:sz w:val="24"/>
          <w:szCs w:val="21"/>
        </w:rPr>
        <w:tab/>
      </w:r>
      <w:r>
        <w:rPr>
          <w:sz w:val="24"/>
          <w:szCs w:val="21"/>
        </w:rPr>
        <w:fldChar w:fldCharType="begin"/>
      </w:r>
      <w:r>
        <w:rPr>
          <w:sz w:val="24"/>
          <w:szCs w:val="21"/>
        </w:rPr>
        <w:instrText xml:space="preserve"> PAGEREF _Toc1246 \h </w:instrText>
      </w:r>
      <w:r>
        <w:rPr>
          <w:sz w:val="24"/>
          <w:szCs w:val="21"/>
        </w:rPr>
        <w:fldChar w:fldCharType="separate"/>
      </w:r>
      <w:r>
        <w:rPr>
          <w:sz w:val="24"/>
          <w:szCs w:val="21"/>
        </w:rPr>
        <w:t>15</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8"/>
        <w:tabs>
          <w:tab w:val="right" w:leader="dot" w:pos="9412"/>
          <w:tab w:val="clear" w:pos="1260"/>
          <w:tab w:val="clear" w:pos="1685"/>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_Toc25546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kern w:val="44"/>
          <w:sz w:val="24"/>
          <w:szCs w:val="21"/>
          <w:highlight w:val="none"/>
          <w:shd w:val="clear" w:color="auto" w:fill="auto"/>
          <w:lang w:val="en-US" w:eastAsia="zh-CN" w:bidi="ar-SA"/>
        </w:rPr>
        <w:t>第五篇 项目技术（服务）要求</w:t>
      </w:r>
      <w:r>
        <w:rPr>
          <w:sz w:val="24"/>
          <w:szCs w:val="21"/>
        </w:rPr>
        <w:tab/>
      </w:r>
      <w:r>
        <w:rPr>
          <w:sz w:val="24"/>
          <w:szCs w:val="21"/>
        </w:rPr>
        <w:fldChar w:fldCharType="begin"/>
      </w:r>
      <w:r>
        <w:rPr>
          <w:sz w:val="24"/>
          <w:szCs w:val="21"/>
        </w:rPr>
        <w:instrText xml:space="preserve"> PAGEREF _Toc25546 \h </w:instrText>
      </w:r>
      <w:r>
        <w:rPr>
          <w:sz w:val="24"/>
          <w:szCs w:val="21"/>
        </w:rPr>
        <w:fldChar w:fldCharType="separate"/>
      </w:r>
      <w:r>
        <w:rPr>
          <w:sz w:val="24"/>
          <w:szCs w:val="21"/>
        </w:rPr>
        <w:t>25</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_Toc18653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kern w:val="2"/>
          <w:sz w:val="24"/>
          <w:szCs w:val="22"/>
          <w:highlight w:val="none"/>
          <w:shd w:val="clear" w:color="auto" w:fill="auto"/>
          <w:lang w:val="en-US" w:eastAsia="zh-CN" w:bidi="ar-SA"/>
        </w:rPr>
        <w:t>一、项目一览表</w:t>
      </w:r>
      <w:r>
        <w:rPr>
          <w:sz w:val="24"/>
          <w:szCs w:val="21"/>
        </w:rPr>
        <w:tab/>
      </w:r>
      <w:r>
        <w:rPr>
          <w:sz w:val="24"/>
          <w:szCs w:val="21"/>
        </w:rPr>
        <w:fldChar w:fldCharType="begin"/>
      </w:r>
      <w:r>
        <w:rPr>
          <w:sz w:val="24"/>
          <w:szCs w:val="21"/>
        </w:rPr>
        <w:instrText xml:space="preserve"> PAGEREF _Toc18653 \h </w:instrText>
      </w:r>
      <w:r>
        <w:rPr>
          <w:sz w:val="24"/>
          <w:szCs w:val="21"/>
        </w:rPr>
        <w:fldChar w:fldCharType="separate"/>
      </w:r>
      <w:r>
        <w:rPr>
          <w:sz w:val="24"/>
          <w:szCs w:val="21"/>
        </w:rPr>
        <w:t>25</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_Toc19665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kern w:val="2"/>
          <w:sz w:val="24"/>
          <w:szCs w:val="22"/>
          <w:highlight w:val="none"/>
          <w:shd w:val="clear" w:color="auto" w:fill="auto"/>
          <w:lang w:val="en-US" w:eastAsia="zh-CN" w:bidi="ar-SA"/>
        </w:rPr>
        <w:t>二、本项目的技术参数</w:t>
      </w:r>
      <w:r>
        <w:rPr>
          <w:sz w:val="24"/>
          <w:szCs w:val="21"/>
        </w:rPr>
        <w:tab/>
      </w:r>
      <w:r>
        <w:rPr>
          <w:sz w:val="24"/>
          <w:szCs w:val="21"/>
        </w:rPr>
        <w:fldChar w:fldCharType="begin"/>
      </w:r>
      <w:r>
        <w:rPr>
          <w:sz w:val="24"/>
          <w:szCs w:val="21"/>
        </w:rPr>
        <w:instrText xml:space="preserve"> PAGEREF _Toc19665 \h </w:instrText>
      </w:r>
      <w:r>
        <w:rPr>
          <w:sz w:val="24"/>
          <w:szCs w:val="21"/>
        </w:rPr>
        <w:fldChar w:fldCharType="separate"/>
      </w:r>
      <w:r>
        <w:rPr>
          <w:sz w:val="24"/>
          <w:szCs w:val="21"/>
        </w:rPr>
        <w:t>25</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8"/>
        <w:tabs>
          <w:tab w:val="right" w:leader="dot" w:pos="9412"/>
          <w:tab w:val="clear" w:pos="1260"/>
          <w:tab w:val="clear" w:pos="1685"/>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_Toc15712 </w:instrText>
      </w:r>
      <w:r>
        <w:rPr>
          <w:rFonts w:hint="default" w:ascii="Times New Roman" w:hAnsi="Times New Roman" w:eastAsia="仿宋" w:cs="Times New Roman"/>
          <w:sz w:val="24"/>
          <w:szCs w:val="20"/>
          <w:highlight w:val="none"/>
          <w:shd w:val="clear" w:color="auto" w:fill="auto"/>
        </w:rPr>
        <w:fldChar w:fldCharType="separate"/>
      </w:r>
      <w:r>
        <w:rPr>
          <w:rFonts w:hint="default" w:ascii="Times New Roman" w:hAnsi="Times New Roman" w:eastAsia="方正黑体_GBK" w:cs="Times New Roman"/>
          <w:bCs/>
          <w:kern w:val="44"/>
          <w:sz w:val="24"/>
          <w:szCs w:val="21"/>
          <w:highlight w:val="none"/>
          <w:shd w:val="clear" w:color="auto" w:fill="auto"/>
          <w:lang w:val="en-US" w:eastAsia="zh-CN" w:bidi="ar-SA"/>
        </w:rPr>
        <w:t>第六篇 响应文件格式</w:t>
      </w:r>
      <w:r>
        <w:rPr>
          <w:sz w:val="24"/>
          <w:szCs w:val="21"/>
        </w:rPr>
        <w:tab/>
      </w:r>
      <w:r>
        <w:rPr>
          <w:sz w:val="24"/>
          <w:szCs w:val="21"/>
        </w:rPr>
        <w:fldChar w:fldCharType="begin"/>
      </w:r>
      <w:r>
        <w:rPr>
          <w:sz w:val="24"/>
          <w:szCs w:val="21"/>
        </w:rPr>
        <w:instrText xml:space="preserve"> PAGEREF _Toc15712 \h </w:instrText>
      </w:r>
      <w:r>
        <w:rPr>
          <w:sz w:val="24"/>
          <w:szCs w:val="21"/>
        </w:rPr>
        <w:fldChar w:fldCharType="separate"/>
      </w:r>
      <w:r>
        <w:rPr>
          <w:sz w:val="24"/>
          <w:szCs w:val="21"/>
        </w:rPr>
        <w:t>32</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_Toc29861 </w:instrText>
      </w:r>
      <w:r>
        <w:rPr>
          <w:rFonts w:hint="default" w:ascii="Times New Roman" w:hAnsi="Times New Roman" w:eastAsia="仿宋" w:cs="Times New Roman"/>
          <w:sz w:val="24"/>
          <w:szCs w:val="20"/>
          <w:highlight w:val="none"/>
          <w:shd w:val="clear" w:color="auto" w:fill="auto"/>
        </w:rPr>
        <w:fldChar w:fldCharType="separate"/>
      </w:r>
      <w:r>
        <w:rPr>
          <w:rFonts w:hint="eastAsia" w:ascii="方正小标宋_GBK" w:hAnsi="方正小标宋_GBK" w:eastAsia="方正小标宋_GBK" w:cs="方正小标宋_GBK"/>
          <w:bCs/>
          <w:kern w:val="2"/>
          <w:sz w:val="24"/>
          <w:szCs w:val="24"/>
          <w:highlight w:val="none"/>
          <w:shd w:val="clear" w:color="auto" w:fill="auto"/>
          <w:lang w:val="en-US" w:eastAsia="zh-CN" w:bidi="ar-SA"/>
        </w:rPr>
        <w:t>一、报价函部分</w:t>
      </w:r>
      <w:r>
        <w:rPr>
          <w:sz w:val="24"/>
          <w:szCs w:val="21"/>
        </w:rPr>
        <w:tab/>
      </w:r>
      <w:r>
        <w:rPr>
          <w:sz w:val="24"/>
          <w:szCs w:val="21"/>
        </w:rPr>
        <w:fldChar w:fldCharType="begin"/>
      </w:r>
      <w:r>
        <w:rPr>
          <w:sz w:val="24"/>
          <w:szCs w:val="21"/>
        </w:rPr>
        <w:instrText xml:space="preserve"> PAGEREF _Toc29861 \h </w:instrText>
      </w:r>
      <w:r>
        <w:rPr>
          <w:sz w:val="24"/>
          <w:szCs w:val="21"/>
        </w:rPr>
        <w:fldChar w:fldCharType="separate"/>
      </w:r>
      <w:r>
        <w:rPr>
          <w:sz w:val="24"/>
          <w:szCs w:val="21"/>
        </w:rPr>
        <w:t>35</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_Toc31085 </w:instrText>
      </w:r>
      <w:r>
        <w:rPr>
          <w:rFonts w:hint="default" w:ascii="Times New Roman" w:hAnsi="Times New Roman" w:eastAsia="仿宋" w:cs="Times New Roman"/>
          <w:sz w:val="24"/>
          <w:szCs w:val="20"/>
          <w:highlight w:val="none"/>
          <w:shd w:val="clear" w:color="auto" w:fill="auto"/>
        </w:rPr>
        <w:fldChar w:fldCharType="separate"/>
      </w:r>
      <w:r>
        <w:rPr>
          <w:rFonts w:hint="default" w:ascii="方正小标宋_GBK" w:hAnsi="方正小标宋_GBK" w:eastAsia="方正小标宋_GBK" w:cs="方正小标宋_GBK"/>
          <w:bCs/>
          <w:kern w:val="2"/>
          <w:sz w:val="24"/>
          <w:szCs w:val="24"/>
          <w:highlight w:val="none"/>
          <w:shd w:val="clear" w:color="auto" w:fill="auto"/>
          <w:lang w:val="en-US" w:eastAsia="zh-CN" w:bidi="ar-SA"/>
        </w:rPr>
        <w:t>二、资格审查资料</w:t>
      </w:r>
      <w:r>
        <w:rPr>
          <w:sz w:val="24"/>
          <w:szCs w:val="21"/>
        </w:rPr>
        <w:tab/>
      </w:r>
      <w:r>
        <w:rPr>
          <w:sz w:val="24"/>
          <w:szCs w:val="21"/>
        </w:rPr>
        <w:fldChar w:fldCharType="begin"/>
      </w:r>
      <w:r>
        <w:rPr>
          <w:sz w:val="24"/>
          <w:szCs w:val="21"/>
        </w:rPr>
        <w:instrText xml:space="preserve"> PAGEREF _Toc31085 \h </w:instrText>
      </w:r>
      <w:r>
        <w:rPr>
          <w:sz w:val="24"/>
          <w:szCs w:val="21"/>
        </w:rPr>
        <w:fldChar w:fldCharType="separate"/>
      </w:r>
      <w:r>
        <w:rPr>
          <w:sz w:val="24"/>
          <w:szCs w:val="21"/>
        </w:rPr>
        <w:t>37</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12"/>
          <w:tab w:val="clear" w:pos="8400"/>
        </w:tabs>
        <w:rPr>
          <w:sz w:val="24"/>
          <w:szCs w:val="21"/>
        </w:rPr>
      </w:pPr>
      <w:r>
        <w:rPr>
          <w:rFonts w:hint="default" w:ascii="Times New Roman" w:hAnsi="Times New Roman" w:eastAsia="仿宋" w:cs="Times New Roman"/>
          <w:color w:val="auto"/>
          <w:sz w:val="24"/>
          <w:szCs w:val="20"/>
          <w:highlight w:val="none"/>
          <w:shd w:val="clear" w:color="auto" w:fill="auto"/>
        </w:rPr>
        <w:fldChar w:fldCharType="begin"/>
      </w:r>
      <w:r>
        <w:rPr>
          <w:rFonts w:hint="default" w:ascii="Times New Roman" w:hAnsi="Times New Roman" w:eastAsia="仿宋" w:cs="Times New Roman"/>
          <w:sz w:val="24"/>
          <w:szCs w:val="20"/>
          <w:highlight w:val="none"/>
          <w:shd w:val="clear" w:color="auto" w:fill="auto"/>
        </w:rPr>
        <w:instrText xml:space="preserve"> HYPERLINK \l _Toc23294 </w:instrText>
      </w:r>
      <w:r>
        <w:rPr>
          <w:rFonts w:hint="default" w:ascii="Times New Roman" w:hAnsi="Times New Roman" w:eastAsia="仿宋" w:cs="Times New Roman"/>
          <w:sz w:val="24"/>
          <w:szCs w:val="20"/>
          <w:highlight w:val="none"/>
          <w:shd w:val="clear" w:color="auto" w:fill="auto"/>
        </w:rPr>
        <w:fldChar w:fldCharType="separate"/>
      </w:r>
      <w:r>
        <w:rPr>
          <w:rFonts w:hint="default" w:ascii="方正小标宋_GBK" w:hAnsi="方正小标宋_GBK" w:eastAsia="方正小标宋_GBK" w:cs="方正小标宋_GBK"/>
          <w:bCs/>
          <w:kern w:val="2"/>
          <w:sz w:val="24"/>
          <w:szCs w:val="24"/>
          <w:highlight w:val="none"/>
          <w:shd w:val="clear" w:color="auto" w:fill="auto"/>
          <w:lang w:val="en-US" w:eastAsia="zh-CN" w:bidi="ar-SA"/>
        </w:rPr>
        <w:t>三、其他资料</w:t>
      </w:r>
      <w:r>
        <w:rPr>
          <w:sz w:val="24"/>
          <w:szCs w:val="21"/>
        </w:rPr>
        <w:tab/>
      </w:r>
      <w:r>
        <w:rPr>
          <w:sz w:val="24"/>
          <w:szCs w:val="21"/>
        </w:rPr>
        <w:fldChar w:fldCharType="begin"/>
      </w:r>
      <w:r>
        <w:rPr>
          <w:sz w:val="24"/>
          <w:szCs w:val="21"/>
        </w:rPr>
        <w:instrText xml:space="preserve"> PAGEREF _Toc23294 \h </w:instrText>
      </w:r>
      <w:r>
        <w:rPr>
          <w:sz w:val="24"/>
          <w:szCs w:val="21"/>
        </w:rPr>
        <w:fldChar w:fldCharType="separate"/>
      </w:r>
      <w:r>
        <w:rPr>
          <w:sz w:val="24"/>
          <w:szCs w:val="21"/>
        </w:rPr>
        <w:t>40</w:t>
      </w:r>
      <w:r>
        <w:rPr>
          <w:sz w:val="24"/>
          <w:szCs w:val="21"/>
        </w:rPr>
        <w:fldChar w:fldCharType="end"/>
      </w:r>
      <w:r>
        <w:rPr>
          <w:rFonts w:hint="default" w:ascii="Times New Roman" w:hAnsi="Times New Roman" w:eastAsia="仿宋" w:cs="Times New Roman"/>
          <w:color w:val="auto"/>
          <w:sz w:val="24"/>
          <w:szCs w:val="20"/>
          <w:highlight w:val="none"/>
          <w:shd w:val="clear" w:color="auto" w:fill="auto"/>
        </w:rPr>
        <w:fldChar w:fldCharType="end"/>
      </w:r>
    </w:p>
    <w:p>
      <w:pPr>
        <w:pStyle w:val="9"/>
        <w:tabs>
          <w:tab w:val="right" w:leader="dot" w:pos="9402"/>
          <w:tab w:val="clear" w:pos="8400"/>
        </w:tabs>
        <w:spacing w:line="480" w:lineRule="exact"/>
        <w:ind w:right="-255"/>
        <w:rPr>
          <w:rFonts w:hint="default" w:ascii="Times New Roman" w:hAnsi="Times New Roman" w:eastAsia="仿宋" w:cs="Times New Roman"/>
          <w:color w:val="auto"/>
          <w:sz w:val="22"/>
          <w:szCs w:val="22"/>
          <w:highlight w:val="none"/>
          <w:shd w:val="clear" w:color="auto" w:fill="auto"/>
        </w:rPr>
      </w:pPr>
      <w:r>
        <w:rPr>
          <w:rFonts w:hint="default" w:ascii="Times New Roman" w:hAnsi="Times New Roman" w:eastAsia="仿宋" w:cs="Times New Roman"/>
          <w:color w:val="auto"/>
          <w:sz w:val="24"/>
          <w:szCs w:val="20"/>
          <w:highlight w:val="none"/>
          <w:shd w:val="clear" w:color="auto" w:fill="auto"/>
        </w:rPr>
        <w:fldChar w:fldCharType="end"/>
      </w:r>
    </w:p>
    <w:p>
      <w:pPr>
        <w:rPr>
          <w:rFonts w:hint="default" w:ascii="Times New Roman" w:hAnsi="Times New Roman" w:cs="Times New Roman"/>
          <w:sz w:val="22"/>
          <w:szCs w:val="22"/>
        </w:rPr>
        <w:sectPr>
          <w:pgSz w:w="11907" w:h="16840"/>
          <w:pgMar w:top="1134" w:right="1191" w:bottom="1134" w:left="1304" w:header="850" w:footer="992" w:gutter="0"/>
          <w:pgNumType w:fmt="decimal" w:start="1"/>
          <w:cols w:space="720" w:num="1"/>
          <w:rtlGutter w:val="0"/>
          <w:docGrid w:linePitch="381" w:charSpace="0"/>
        </w:sectPr>
      </w:pPr>
    </w:p>
    <w:p>
      <w:pPr>
        <w:pStyle w:val="3"/>
        <w:keepNext/>
        <w:keepLines/>
        <w:pageBreakBefore w:val="0"/>
        <w:widowControl w:val="0"/>
        <w:numPr>
          <w:ilvl w:val="0"/>
          <w:numId w:val="0"/>
        </w:numPr>
        <w:tabs>
          <w:tab w:val="left" w:pos="3360"/>
        </w:tabs>
        <w:kinsoku/>
        <w:wordWrap/>
        <w:overflowPunct/>
        <w:topLinePunct w:val="0"/>
        <w:autoSpaceDE/>
        <w:autoSpaceDN/>
        <w:bidi w:val="0"/>
        <w:adjustRightInd/>
        <w:snapToGrid/>
        <w:spacing w:before="0" w:beforeLines="0" w:after="0" w:afterLines="0" w:line="400" w:lineRule="exact"/>
        <w:ind w:leftChars="0"/>
        <w:jc w:val="center"/>
        <w:textAlignment w:val="auto"/>
        <w:outlineLvl w:val="0"/>
        <w:rPr>
          <w:rFonts w:hint="default" w:ascii="Times New Roman" w:hAnsi="Times New Roman" w:eastAsia="方正黑体_GBK" w:cs="Times New Roman"/>
          <w:b w:val="0"/>
          <w:bCs/>
          <w:color w:val="auto"/>
          <w:highlight w:val="none"/>
          <w:shd w:val="clear" w:color="auto" w:fill="auto"/>
          <w:lang w:eastAsia="zh-CN"/>
        </w:rPr>
      </w:pPr>
      <w:bookmarkStart w:id="0" w:name="_Toc5280"/>
      <w:bookmarkStart w:id="1" w:name="_Toc23961"/>
      <w:r>
        <w:rPr>
          <w:rFonts w:hint="default" w:ascii="Times New Roman" w:hAnsi="Times New Roman" w:eastAsia="方正黑体_GBK" w:cs="Times New Roman"/>
          <w:b w:val="0"/>
          <w:bCs/>
          <w:color w:val="auto"/>
          <w:highlight w:val="none"/>
          <w:shd w:val="clear" w:color="auto" w:fill="auto"/>
        </w:rPr>
        <w:t>第一篇</w:t>
      </w:r>
      <w:r>
        <w:rPr>
          <w:rFonts w:hint="default" w:ascii="Times New Roman" w:hAnsi="Times New Roman" w:eastAsia="方正黑体_GBK" w:cs="Times New Roman"/>
          <w:b w:val="0"/>
          <w:bCs/>
          <w:color w:val="auto"/>
          <w:highlight w:val="none"/>
          <w:shd w:val="clear" w:color="auto" w:fill="auto"/>
          <w:lang w:val="en-US" w:eastAsia="zh-CN"/>
        </w:rPr>
        <w:t xml:space="preserve"> </w:t>
      </w:r>
      <w:r>
        <w:rPr>
          <w:rFonts w:hint="default" w:ascii="Times New Roman" w:hAnsi="Times New Roman" w:eastAsia="方正黑体_GBK" w:cs="Times New Roman"/>
          <w:b w:val="0"/>
          <w:bCs/>
          <w:color w:val="auto"/>
          <w:highlight w:val="none"/>
          <w:shd w:val="clear" w:color="auto" w:fill="auto"/>
          <w:lang w:eastAsia="zh-CN"/>
        </w:rPr>
        <w:t>比选</w:t>
      </w:r>
      <w:bookmarkEnd w:id="0"/>
      <w:r>
        <w:rPr>
          <w:rFonts w:hint="default" w:ascii="Times New Roman" w:hAnsi="Times New Roman" w:eastAsia="方正黑体_GBK" w:cs="Times New Roman"/>
          <w:b w:val="0"/>
          <w:bCs/>
          <w:color w:val="auto"/>
          <w:highlight w:val="none"/>
          <w:shd w:val="clear" w:color="auto" w:fill="auto"/>
          <w:lang w:val="en-US" w:eastAsia="zh-CN"/>
        </w:rPr>
        <w:t>公告</w:t>
      </w:r>
      <w:bookmarkEnd w:id="1"/>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rPr>
      </w:pPr>
      <w:r>
        <w:rPr>
          <w:rFonts w:hint="default" w:ascii="Times New Roman" w:hAnsi="Times New Roman" w:cs="Times New Roman" w:eastAsiaTheme="minorEastAsia"/>
          <w:color w:val="auto"/>
          <w:sz w:val="24"/>
          <w:szCs w:val="24"/>
          <w:highlight w:val="none"/>
          <w:shd w:val="clear" w:color="auto" w:fill="auto"/>
          <w:lang w:eastAsia="zh-CN"/>
        </w:rPr>
        <w:t>重庆春林建设工程咨询有限公司（</w:t>
      </w:r>
      <w:r>
        <w:rPr>
          <w:rFonts w:hint="default" w:ascii="Times New Roman" w:hAnsi="Times New Roman" w:cs="Times New Roman" w:eastAsiaTheme="minorEastAsia"/>
          <w:color w:val="auto"/>
          <w:sz w:val="24"/>
          <w:szCs w:val="24"/>
          <w:highlight w:val="none"/>
          <w:shd w:val="clear" w:color="auto" w:fill="auto"/>
          <w:lang w:val="en-US" w:eastAsia="zh-CN"/>
        </w:rPr>
        <w:t>代理机构</w:t>
      </w: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rPr>
        <w:t>受</w:t>
      </w:r>
      <w:r>
        <w:rPr>
          <w:rFonts w:hint="default" w:ascii="Times New Roman" w:hAnsi="Times New Roman" w:cs="Times New Roman" w:eastAsiaTheme="minorEastAsia"/>
          <w:color w:val="auto"/>
          <w:sz w:val="24"/>
          <w:szCs w:val="24"/>
          <w:highlight w:val="none"/>
          <w:shd w:val="clear" w:color="auto" w:fill="auto"/>
          <w:lang w:eastAsia="zh-CN"/>
        </w:rPr>
        <w:t>重庆储备粮管理集团有限公司梁平分公司</w:t>
      </w:r>
      <w:r>
        <w:rPr>
          <w:rFonts w:hint="default" w:ascii="Times New Roman" w:hAnsi="Times New Roman" w:cs="Times New Roman" w:eastAsiaTheme="minorEastAsia"/>
          <w:color w:val="auto"/>
          <w:sz w:val="24"/>
          <w:szCs w:val="24"/>
          <w:highlight w:val="none"/>
          <w:shd w:val="clear" w:color="auto" w:fill="auto"/>
        </w:rPr>
        <w:t>（</w:t>
      </w:r>
      <w:r>
        <w:rPr>
          <w:rFonts w:hint="default" w:ascii="Times New Roman" w:hAnsi="Times New Roman" w:cs="Times New Roman" w:eastAsiaTheme="minorEastAsia"/>
          <w:color w:val="auto"/>
          <w:sz w:val="24"/>
          <w:szCs w:val="24"/>
          <w:highlight w:val="none"/>
          <w:shd w:val="clear" w:color="auto" w:fill="auto"/>
          <w:lang w:eastAsia="zh-CN"/>
        </w:rPr>
        <w:t>比选人</w:t>
      </w:r>
      <w:r>
        <w:rPr>
          <w:rFonts w:hint="default" w:ascii="Times New Roman" w:hAnsi="Times New Roman" w:cs="Times New Roman" w:eastAsiaTheme="minorEastAsia"/>
          <w:color w:val="auto"/>
          <w:sz w:val="24"/>
          <w:szCs w:val="24"/>
          <w:highlight w:val="none"/>
          <w:shd w:val="clear" w:color="auto" w:fill="auto"/>
        </w:rPr>
        <w:t>）的委托，对</w:t>
      </w:r>
      <w:r>
        <w:rPr>
          <w:rFonts w:hint="default" w:ascii="Times New Roman" w:hAnsi="Times New Roman" w:cs="Times New Roman" w:eastAsiaTheme="minorEastAsia"/>
          <w:color w:val="auto"/>
          <w:sz w:val="24"/>
          <w:szCs w:val="24"/>
          <w:highlight w:val="none"/>
          <w:shd w:val="clear" w:color="auto" w:fill="auto"/>
          <w:lang w:eastAsia="zh-CN"/>
        </w:rPr>
        <w:t>梁平分公司会议系统设备采购项目</w:t>
      </w:r>
      <w:r>
        <w:rPr>
          <w:rFonts w:hint="default" w:ascii="Times New Roman" w:hAnsi="Times New Roman" w:cs="Times New Roman" w:eastAsiaTheme="minorEastAsia"/>
          <w:color w:val="auto"/>
          <w:sz w:val="24"/>
          <w:szCs w:val="24"/>
          <w:highlight w:val="none"/>
          <w:shd w:val="clear" w:color="auto" w:fill="auto"/>
        </w:rPr>
        <w:t>进行</w:t>
      </w:r>
      <w:r>
        <w:rPr>
          <w:rFonts w:hint="default" w:ascii="Times New Roman" w:hAnsi="Times New Roman" w:cs="Times New Roman" w:eastAsiaTheme="minorEastAsia"/>
          <w:color w:val="auto"/>
          <w:sz w:val="24"/>
          <w:szCs w:val="24"/>
          <w:highlight w:val="none"/>
          <w:shd w:val="clear" w:color="auto" w:fill="auto"/>
          <w:lang w:val="en-US" w:eastAsia="zh-CN"/>
        </w:rPr>
        <w:t>竞争性</w:t>
      </w:r>
      <w:r>
        <w:rPr>
          <w:rFonts w:hint="default" w:ascii="Times New Roman" w:hAnsi="Times New Roman" w:cs="Times New Roman" w:eastAsiaTheme="minorEastAsia"/>
          <w:color w:val="auto"/>
          <w:sz w:val="24"/>
          <w:szCs w:val="24"/>
          <w:highlight w:val="none"/>
          <w:shd w:val="clear" w:color="auto" w:fill="auto"/>
          <w:lang w:eastAsia="zh-CN"/>
        </w:rPr>
        <w:t>比选</w:t>
      </w:r>
      <w:r>
        <w:rPr>
          <w:rFonts w:hint="default" w:ascii="Times New Roman" w:hAnsi="Times New Roman" w:cs="Times New Roman" w:eastAsiaTheme="minorEastAsia"/>
          <w:color w:val="auto"/>
          <w:sz w:val="24"/>
          <w:szCs w:val="24"/>
          <w:highlight w:val="none"/>
          <w:shd w:val="clear" w:color="auto" w:fill="auto"/>
        </w:rPr>
        <w:t>，欢迎具备相关资质的供应商参与报价。</w:t>
      </w:r>
    </w:p>
    <w:p>
      <w:pPr>
        <w:pStyle w:val="4"/>
        <w:spacing w:line="500" w:lineRule="exact"/>
        <w:rPr>
          <w:rFonts w:hint="default" w:ascii="Times New Roman" w:hAnsi="Times New Roman" w:eastAsia="方正楷体_GBK" w:cs="Times New Roman"/>
          <w:b/>
          <w:color w:val="auto"/>
          <w:szCs w:val="28"/>
          <w:highlight w:val="none"/>
          <w:shd w:val="clear" w:color="auto" w:fill="auto"/>
        </w:rPr>
      </w:pPr>
      <w:bookmarkStart w:id="2" w:name="_Toc15899"/>
      <w:r>
        <w:rPr>
          <w:rFonts w:hint="default" w:ascii="Times New Roman" w:hAnsi="Times New Roman" w:eastAsia="方正楷体_GBK" w:cs="Times New Roman"/>
          <w:b/>
          <w:color w:val="auto"/>
          <w:szCs w:val="28"/>
          <w:highlight w:val="none"/>
          <w:shd w:val="clear" w:color="auto" w:fill="auto"/>
          <w:lang w:eastAsia="zh-CN"/>
        </w:rPr>
        <w:t>项目概况及主要工作内容</w:t>
      </w:r>
      <w:bookmarkEnd w:id="2"/>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bookmarkStart w:id="3" w:name="_Toc10909"/>
      <w:r>
        <w:rPr>
          <w:rFonts w:hint="default" w:ascii="Times New Roman" w:hAnsi="Times New Roman" w:cs="Times New Roman" w:eastAsiaTheme="minorEastAsia"/>
          <w:color w:val="auto"/>
          <w:sz w:val="24"/>
          <w:szCs w:val="24"/>
          <w:highlight w:val="none"/>
          <w:shd w:val="clear" w:color="auto" w:fill="auto"/>
          <w:lang w:val="en-US" w:eastAsia="zh-CN"/>
        </w:rPr>
        <w:t>1.</w:t>
      </w:r>
      <w:r>
        <w:rPr>
          <w:rFonts w:hint="default" w:ascii="Times New Roman" w:hAnsi="Times New Roman" w:cs="Times New Roman" w:eastAsiaTheme="minorEastAsia"/>
          <w:color w:val="auto"/>
          <w:sz w:val="24"/>
          <w:szCs w:val="24"/>
          <w:highlight w:val="none"/>
          <w:shd w:val="clear" w:color="auto" w:fill="auto"/>
          <w:lang w:eastAsia="zh-CN"/>
        </w:rPr>
        <w:t>项目名称：重庆储备粮管理集团有限公司</w:t>
      </w:r>
      <w:r>
        <w:rPr>
          <w:rFonts w:hint="default" w:ascii="Times New Roman" w:hAnsi="Times New Roman" w:cs="Times New Roman" w:eastAsiaTheme="minorEastAsia"/>
          <w:color w:val="auto"/>
          <w:sz w:val="24"/>
          <w:szCs w:val="24"/>
          <w:highlight w:val="none"/>
          <w:shd w:val="clear" w:color="auto" w:fill="auto"/>
          <w:lang w:val="en-US" w:eastAsia="zh-CN"/>
        </w:rPr>
        <w:t>梁平分公司会议系统设备采购项目</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2.项目地址：重庆储备粮管理集团有限公司梁平分公司</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3.项目</w:t>
      </w:r>
      <w:r>
        <w:rPr>
          <w:rFonts w:hint="default" w:ascii="Times New Roman" w:hAnsi="Times New Roman" w:cs="Times New Roman" w:eastAsiaTheme="minorEastAsia"/>
          <w:color w:val="auto"/>
          <w:sz w:val="24"/>
          <w:szCs w:val="24"/>
          <w:highlight w:val="none"/>
          <w:shd w:val="clear" w:color="auto" w:fill="auto"/>
          <w:lang w:eastAsia="zh-CN"/>
        </w:rPr>
        <w:t>主要内容:</w:t>
      </w:r>
      <w:r>
        <w:rPr>
          <w:rFonts w:hint="default" w:ascii="Times New Roman" w:hAnsi="Times New Roman" w:cs="Times New Roman" w:eastAsiaTheme="minorEastAsia"/>
          <w:color w:val="auto"/>
          <w:sz w:val="24"/>
          <w:szCs w:val="24"/>
          <w:highlight w:val="none"/>
          <w:shd w:val="clear" w:color="auto" w:fill="auto"/>
          <w:lang w:val="en-US" w:eastAsia="zh-CN"/>
        </w:rPr>
        <w:t>拟采购会议系统设备（含LED屏-大会议室、视频处理器、高清摄像机、全场景智慧平板-小会议室、视频会议终端主机、视频会议摄像机、会议音响、无线话筒、设备机柜）等设备</w:t>
      </w: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具体以清单表为准。</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4.资金来源</w:t>
      </w: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业主自筹资金,最高限价为144094.94元。</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5.供货期要求</w:t>
      </w: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60日历天（期限时间包括设备到场安装、调试、试验合格并能正常使用）</w:t>
      </w:r>
      <w:r>
        <w:rPr>
          <w:rFonts w:hint="default" w:ascii="Times New Roman" w:hAnsi="Times New Roman" w:cs="Times New Roman" w:eastAsiaTheme="minorEastAsia"/>
          <w:color w:val="auto"/>
          <w:sz w:val="24"/>
          <w:szCs w:val="24"/>
          <w:highlight w:val="none"/>
          <w:shd w:val="clear" w:color="auto" w:fill="auto"/>
          <w:lang w:eastAsia="zh-CN"/>
        </w:rPr>
        <w:t>。</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质保</w:t>
      </w:r>
      <w:r>
        <w:rPr>
          <w:rFonts w:hint="default" w:ascii="Times New Roman" w:hAnsi="Times New Roman" w:cs="Times New Roman" w:eastAsiaTheme="minorEastAsia"/>
          <w:color w:val="auto"/>
          <w:sz w:val="24"/>
          <w:szCs w:val="24"/>
          <w:highlight w:val="none"/>
          <w:shd w:val="clear" w:color="auto" w:fill="auto"/>
          <w:lang w:eastAsia="zh-CN"/>
        </w:rPr>
        <w:t>期要求：质保期不低于国家“三包”等有关法律法规规定的标准期限（</w:t>
      </w:r>
      <w:r>
        <w:rPr>
          <w:rFonts w:hint="default" w:ascii="Times New Roman" w:hAnsi="Times New Roman" w:cs="Times New Roman" w:eastAsiaTheme="minorEastAsia"/>
          <w:color w:val="auto"/>
          <w:sz w:val="24"/>
          <w:szCs w:val="24"/>
          <w:highlight w:val="none"/>
          <w:shd w:val="clear" w:color="auto" w:fill="auto"/>
          <w:lang w:val="en-US" w:eastAsia="zh-CN"/>
        </w:rPr>
        <w:t>质保期内清单内的设备，均由中选供应商负责更换或维修或维护</w:t>
      </w:r>
      <w:r>
        <w:rPr>
          <w:rFonts w:hint="default" w:ascii="Times New Roman" w:hAnsi="Times New Roman" w:cs="Times New Roman" w:eastAsiaTheme="minorEastAsia"/>
          <w:color w:val="auto"/>
          <w:sz w:val="24"/>
          <w:szCs w:val="24"/>
          <w:highlight w:val="none"/>
          <w:shd w:val="clear" w:color="auto" w:fill="auto"/>
          <w:lang w:eastAsia="zh-CN"/>
        </w:rPr>
        <w:t>）。</w:t>
      </w:r>
    </w:p>
    <w:bookmarkEnd w:id="3"/>
    <w:p>
      <w:pPr>
        <w:pStyle w:val="4"/>
        <w:spacing w:line="500" w:lineRule="exact"/>
        <w:rPr>
          <w:rFonts w:hint="default" w:ascii="Times New Roman" w:hAnsi="Times New Roman" w:eastAsia="方正楷体_GBK" w:cs="Times New Roman"/>
          <w:b/>
          <w:color w:val="auto"/>
          <w:szCs w:val="28"/>
          <w:highlight w:val="none"/>
          <w:shd w:val="clear" w:color="auto" w:fill="auto"/>
          <w:lang w:eastAsia="zh-CN"/>
        </w:rPr>
      </w:pPr>
      <w:bookmarkStart w:id="4" w:name="_Toc19318"/>
      <w:bookmarkStart w:id="5" w:name="_Toc29944"/>
      <w:r>
        <w:rPr>
          <w:rFonts w:hint="default" w:ascii="Times New Roman" w:hAnsi="Times New Roman" w:eastAsia="方正楷体_GBK" w:cs="Times New Roman"/>
          <w:b/>
          <w:color w:val="auto"/>
          <w:szCs w:val="28"/>
          <w:highlight w:val="none"/>
          <w:shd w:val="clear" w:color="auto" w:fill="auto"/>
          <w:lang w:eastAsia="zh-CN"/>
        </w:rPr>
        <w:t>供应商资格条件</w:t>
      </w:r>
      <w:bookmarkEnd w:id="4"/>
      <w:bookmarkEnd w:id="5"/>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1</w:t>
      </w:r>
      <w:r>
        <w:rPr>
          <w:rFonts w:hint="default" w:ascii="Times New Roman" w:hAnsi="Times New Roman" w:cs="Times New Roman" w:eastAsiaTheme="minorEastAsia"/>
          <w:color w:val="auto"/>
          <w:sz w:val="24"/>
          <w:szCs w:val="24"/>
          <w:highlight w:val="none"/>
          <w:shd w:val="clear" w:color="auto" w:fill="auto"/>
          <w:lang w:val="en-US" w:eastAsia="zh-CN"/>
        </w:rPr>
        <w:t>.</w:t>
      </w:r>
      <w:r>
        <w:rPr>
          <w:rFonts w:hint="default" w:ascii="Times New Roman" w:hAnsi="Times New Roman" w:cs="Times New Roman" w:eastAsiaTheme="minorEastAsia"/>
          <w:color w:val="auto"/>
          <w:sz w:val="24"/>
          <w:szCs w:val="24"/>
          <w:highlight w:val="none"/>
          <w:shd w:val="clear" w:color="auto" w:fill="auto"/>
          <w:lang w:eastAsia="zh-CN"/>
        </w:rPr>
        <w:t>具有独立法人资格，具备有效的营业执照；</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2</w:t>
      </w:r>
      <w:r>
        <w:rPr>
          <w:rFonts w:hint="default" w:ascii="Times New Roman" w:hAnsi="Times New Roman" w:cs="Times New Roman" w:eastAsiaTheme="minorEastAsia"/>
          <w:color w:val="auto"/>
          <w:sz w:val="24"/>
          <w:szCs w:val="24"/>
          <w:highlight w:val="none"/>
          <w:shd w:val="clear" w:color="auto" w:fill="auto"/>
          <w:lang w:val="en-US" w:eastAsia="zh-CN"/>
        </w:rPr>
        <w:t>.</w:t>
      </w:r>
      <w:r>
        <w:rPr>
          <w:rFonts w:hint="default" w:ascii="Times New Roman" w:hAnsi="Times New Roman" w:cs="Times New Roman" w:eastAsiaTheme="minorEastAsia"/>
          <w:color w:val="auto"/>
          <w:sz w:val="24"/>
          <w:szCs w:val="24"/>
          <w:highlight w:val="none"/>
          <w:shd w:val="clear" w:color="auto" w:fill="auto"/>
          <w:lang w:eastAsia="zh-CN"/>
        </w:rPr>
        <w:t>具有良好的商业信誉和健全的财务会计制度；</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eastAsia="zh-CN"/>
        </w:rPr>
        <w:t>3</w:t>
      </w:r>
      <w:r>
        <w:rPr>
          <w:rFonts w:hint="default" w:ascii="Times New Roman" w:hAnsi="Times New Roman" w:cs="Times New Roman" w:eastAsiaTheme="minorEastAsia"/>
          <w:color w:val="auto"/>
          <w:sz w:val="24"/>
          <w:szCs w:val="24"/>
          <w:highlight w:val="none"/>
          <w:shd w:val="clear" w:color="auto" w:fill="auto"/>
          <w:lang w:val="en-US" w:eastAsia="zh-CN"/>
        </w:rPr>
        <w:t>.</w:t>
      </w:r>
      <w:r>
        <w:rPr>
          <w:rFonts w:hint="default" w:ascii="Times New Roman" w:hAnsi="Times New Roman" w:cs="Times New Roman" w:eastAsiaTheme="minorEastAsia"/>
          <w:color w:val="auto"/>
          <w:sz w:val="24"/>
          <w:szCs w:val="24"/>
          <w:highlight w:val="none"/>
          <w:shd w:val="clear" w:color="auto" w:fill="auto"/>
          <w:lang w:eastAsia="zh-CN"/>
        </w:rPr>
        <w:t>具有履行合同所必需的设备和专业技术能力</w:t>
      </w:r>
      <w:r>
        <w:rPr>
          <w:rFonts w:hint="default" w:ascii="Times New Roman" w:hAnsi="Times New Roman" w:cs="Times New Roman" w:eastAsiaTheme="minorEastAsia"/>
          <w:color w:val="auto"/>
          <w:sz w:val="24"/>
          <w:szCs w:val="24"/>
          <w:highlight w:val="none"/>
          <w:shd w:val="clear" w:color="auto" w:fill="auto"/>
          <w:lang w:val="en-US" w:eastAsia="zh-CN"/>
        </w:rPr>
        <w:t>；</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4</w:t>
      </w:r>
      <w:r>
        <w:rPr>
          <w:rFonts w:hint="default" w:ascii="Times New Roman" w:hAnsi="Times New Roman" w:cs="Times New Roman" w:eastAsiaTheme="minorEastAsia"/>
          <w:color w:val="auto"/>
          <w:sz w:val="24"/>
          <w:szCs w:val="24"/>
          <w:highlight w:val="none"/>
          <w:shd w:val="clear" w:color="auto" w:fill="auto"/>
          <w:lang w:val="en-US" w:eastAsia="zh-CN"/>
        </w:rPr>
        <w:t>.</w:t>
      </w:r>
      <w:r>
        <w:rPr>
          <w:rFonts w:hint="default" w:ascii="Times New Roman" w:hAnsi="Times New Roman" w:cs="Times New Roman" w:eastAsiaTheme="minorEastAsia"/>
          <w:color w:val="auto"/>
          <w:sz w:val="24"/>
          <w:szCs w:val="24"/>
          <w:highlight w:val="none"/>
          <w:shd w:val="clear" w:color="auto" w:fill="auto"/>
          <w:lang w:eastAsia="zh-CN"/>
        </w:rPr>
        <w:t xml:space="preserve">有依法缴纳税收和社会保障资金的良好记录； </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5</w:t>
      </w:r>
      <w:r>
        <w:rPr>
          <w:rFonts w:hint="default" w:ascii="Times New Roman" w:hAnsi="Times New Roman" w:cs="Times New Roman" w:eastAsiaTheme="minorEastAsia"/>
          <w:color w:val="auto"/>
          <w:sz w:val="24"/>
          <w:szCs w:val="24"/>
          <w:highlight w:val="none"/>
          <w:shd w:val="clear" w:color="auto" w:fill="auto"/>
          <w:lang w:val="en-US" w:eastAsia="zh-CN"/>
        </w:rPr>
        <w:t>.</w:t>
      </w:r>
      <w:r>
        <w:rPr>
          <w:rFonts w:hint="default" w:ascii="Times New Roman" w:hAnsi="Times New Roman" w:cs="Times New Roman" w:eastAsiaTheme="minorEastAsia"/>
          <w:color w:val="auto"/>
          <w:sz w:val="24"/>
          <w:szCs w:val="24"/>
          <w:highlight w:val="none"/>
          <w:shd w:val="clear" w:color="auto" w:fill="auto"/>
          <w:lang w:eastAsia="zh-CN"/>
        </w:rPr>
        <w:t>参加政府采购活动前三年内，在经营活动中没有重大违法记录；</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6</w:t>
      </w:r>
      <w:r>
        <w:rPr>
          <w:rFonts w:hint="default" w:ascii="Times New Roman" w:hAnsi="Times New Roman" w:cs="Times New Roman" w:eastAsiaTheme="minorEastAsia"/>
          <w:color w:val="auto"/>
          <w:sz w:val="24"/>
          <w:szCs w:val="24"/>
          <w:highlight w:val="none"/>
          <w:shd w:val="clear" w:color="auto" w:fill="auto"/>
          <w:lang w:val="en-US" w:eastAsia="zh-CN"/>
        </w:rPr>
        <w:t>.</w:t>
      </w:r>
      <w:r>
        <w:rPr>
          <w:rFonts w:hint="default" w:ascii="Times New Roman" w:hAnsi="Times New Roman" w:cs="Times New Roman" w:eastAsiaTheme="minorEastAsia"/>
          <w:color w:val="auto"/>
          <w:sz w:val="24"/>
          <w:szCs w:val="24"/>
          <w:highlight w:val="none"/>
          <w:shd w:val="clear" w:color="auto" w:fill="auto"/>
          <w:lang w:eastAsia="zh-CN"/>
        </w:rPr>
        <w:t>法律、行政法规规定的其他条件。</w:t>
      </w:r>
    </w:p>
    <w:p>
      <w:pPr>
        <w:pStyle w:val="4"/>
        <w:spacing w:line="500" w:lineRule="exact"/>
        <w:rPr>
          <w:rFonts w:hint="default" w:ascii="Times New Roman" w:hAnsi="Times New Roman" w:eastAsia="方正楷体_GBK" w:cs="Times New Roman"/>
          <w:b/>
          <w:color w:val="auto"/>
          <w:szCs w:val="28"/>
          <w:highlight w:val="none"/>
          <w:shd w:val="clear" w:color="auto" w:fill="auto"/>
          <w:lang w:eastAsia="zh-CN"/>
        </w:rPr>
      </w:pPr>
      <w:bookmarkStart w:id="6" w:name="_Toc7590"/>
      <w:bookmarkStart w:id="7" w:name="_Toc4658"/>
      <w:r>
        <w:rPr>
          <w:rFonts w:hint="default" w:ascii="Times New Roman" w:hAnsi="Times New Roman" w:eastAsia="方正楷体_GBK" w:cs="Times New Roman"/>
          <w:b/>
          <w:color w:val="auto"/>
          <w:szCs w:val="28"/>
          <w:highlight w:val="none"/>
          <w:shd w:val="clear" w:color="auto" w:fill="auto"/>
          <w:lang w:eastAsia="zh-CN"/>
        </w:rPr>
        <w:t>比选有关说明</w:t>
      </w:r>
      <w:bookmarkEnd w:id="6"/>
      <w:bookmarkEnd w:id="7"/>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1.比选文件的获取</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凡有意参加比选的供应商，请于</w:t>
      </w:r>
      <w:r>
        <w:rPr>
          <w:rFonts w:hint="default" w:ascii="Times New Roman" w:hAnsi="Times New Roman" w:cs="Times New Roman" w:eastAsiaTheme="minorEastAsia"/>
          <w:color w:val="auto"/>
          <w:sz w:val="24"/>
          <w:szCs w:val="24"/>
          <w:highlight w:val="none"/>
          <w:shd w:val="clear" w:color="auto" w:fill="auto"/>
          <w:lang w:val="en-US" w:eastAsia="zh-CN"/>
        </w:rPr>
        <w:t>2025</w:t>
      </w:r>
      <w:r>
        <w:rPr>
          <w:rFonts w:hint="default" w:ascii="Times New Roman" w:hAnsi="Times New Roman" w:cs="Times New Roman" w:eastAsiaTheme="minorEastAsia"/>
          <w:color w:val="auto"/>
          <w:sz w:val="24"/>
          <w:szCs w:val="24"/>
          <w:highlight w:val="none"/>
          <w:shd w:val="clear" w:color="auto" w:fill="auto"/>
          <w:lang w:eastAsia="zh-CN"/>
        </w:rPr>
        <w:t>年</w:t>
      </w:r>
      <w:r>
        <w:rPr>
          <w:rFonts w:hint="default" w:ascii="Times New Roman" w:hAnsi="Times New Roman" w:cs="Times New Roman" w:eastAsiaTheme="minorEastAsia"/>
          <w:color w:val="auto"/>
          <w:sz w:val="24"/>
          <w:szCs w:val="24"/>
          <w:highlight w:val="none"/>
          <w:shd w:val="clear" w:color="auto" w:fill="auto"/>
          <w:lang w:val="en-US" w:eastAsia="zh-CN"/>
        </w:rPr>
        <w:t>12月</w:t>
      </w:r>
      <w:r>
        <w:rPr>
          <w:rFonts w:hint="eastAsia" w:ascii="Times New Roman" w:hAnsi="Times New Roman" w:cs="Times New Roman" w:eastAsiaTheme="minorEastAsia"/>
          <w:color w:val="auto"/>
          <w:sz w:val="24"/>
          <w:szCs w:val="24"/>
          <w:highlight w:val="none"/>
          <w:shd w:val="clear" w:color="auto" w:fill="auto"/>
          <w:lang w:val="en-US" w:eastAsia="zh-CN"/>
        </w:rPr>
        <w:t>5</w:t>
      </w:r>
      <w:r>
        <w:rPr>
          <w:rFonts w:hint="default" w:ascii="Times New Roman" w:hAnsi="Times New Roman" w:cs="Times New Roman" w:eastAsiaTheme="minorEastAsia"/>
          <w:color w:val="auto"/>
          <w:sz w:val="24"/>
          <w:szCs w:val="24"/>
          <w:highlight w:val="none"/>
          <w:shd w:val="clear" w:color="auto" w:fill="auto"/>
          <w:lang w:val="en-US" w:eastAsia="zh-CN"/>
        </w:rPr>
        <w:t>日</w:t>
      </w:r>
      <w:r>
        <w:rPr>
          <w:rFonts w:hint="default" w:ascii="Times New Roman" w:hAnsi="Times New Roman" w:cs="Times New Roman" w:eastAsiaTheme="minorEastAsia"/>
          <w:color w:val="auto"/>
          <w:sz w:val="24"/>
          <w:szCs w:val="24"/>
          <w:highlight w:val="none"/>
          <w:shd w:val="clear" w:color="auto" w:fill="auto"/>
          <w:lang w:eastAsia="zh-CN"/>
        </w:rPr>
        <w:t>（北京时间，下同）起在</w:t>
      </w:r>
      <w:r>
        <w:rPr>
          <w:rFonts w:hint="default" w:ascii="Times New Roman" w:hAnsi="Times New Roman" w:cs="Times New Roman" w:eastAsiaTheme="minorEastAsia"/>
          <w:color w:val="auto"/>
          <w:sz w:val="24"/>
          <w:szCs w:val="24"/>
          <w:highlight w:val="none"/>
          <w:shd w:val="clear" w:color="auto" w:fill="auto"/>
          <w:lang w:val="en-US" w:eastAsia="zh-CN"/>
        </w:rPr>
        <w:t>梁平信息网下载本项目竞争性比选文件以及清单、澄清等比选前公布的所有项目资料，无论潜在供应商下载与否，均视为已知晓所有比选实质性要求内容。</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2.</w:t>
      </w:r>
      <w:r>
        <w:rPr>
          <w:rFonts w:hint="default" w:ascii="Times New Roman" w:hAnsi="Times New Roman" w:cs="Times New Roman" w:eastAsiaTheme="minorEastAsia"/>
          <w:color w:val="auto"/>
          <w:sz w:val="24"/>
          <w:szCs w:val="24"/>
          <w:highlight w:val="none"/>
          <w:shd w:val="clear" w:color="auto" w:fill="auto"/>
          <w:lang w:eastAsia="zh-CN"/>
        </w:rPr>
        <w:t>响应文件递交</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凡有意参加比选的供应商，请于2025年12</w:t>
      </w:r>
      <w:r>
        <w:rPr>
          <w:rFonts w:hint="default" w:ascii="Times New Roman" w:hAnsi="Times New Roman" w:cs="Times New Roman" w:eastAsiaTheme="minorEastAsia"/>
          <w:color w:val="auto"/>
          <w:sz w:val="24"/>
          <w:szCs w:val="24"/>
          <w:highlight w:val="none"/>
          <w:shd w:val="clear" w:color="auto" w:fill="auto"/>
          <w:lang w:val="en-US" w:eastAsia="zh-CN"/>
        </w:rPr>
        <w:t>月</w:t>
      </w:r>
      <w:r>
        <w:rPr>
          <w:rFonts w:hint="eastAsia" w:ascii="Times New Roman" w:hAnsi="Times New Roman" w:cs="Times New Roman" w:eastAsiaTheme="minorEastAsia"/>
          <w:color w:val="auto"/>
          <w:sz w:val="24"/>
          <w:szCs w:val="24"/>
          <w:highlight w:val="none"/>
          <w:shd w:val="clear" w:color="auto" w:fill="auto"/>
          <w:lang w:val="en-US" w:eastAsia="zh-CN"/>
        </w:rPr>
        <w:t>11</w:t>
      </w:r>
      <w:r>
        <w:rPr>
          <w:rFonts w:hint="default" w:ascii="Times New Roman" w:hAnsi="Times New Roman" w:cs="Times New Roman" w:eastAsiaTheme="minorEastAsia"/>
          <w:color w:val="auto"/>
          <w:sz w:val="24"/>
          <w:szCs w:val="24"/>
          <w:highlight w:val="none"/>
          <w:shd w:val="clear" w:color="auto" w:fill="auto"/>
          <w:lang w:val="en-US" w:eastAsia="zh-CN"/>
        </w:rPr>
        <w:t>日10点00分至2025年12月</w:t>
      </w:r>
      <w:r>
        <w:rPr>
          <w:rFonts w:hint="eastAsia" w:ascii="Times New Roman" w:hAnsi="Times New Roman" w:cs="Times New Roman" w:eastAsiaTheme="minorEastAsia"/>
          <w:color w:val="auto"/>
          <w:sz w:val="24"/>
          <w:szCs w:val="24"/>
          <w:highlight w:val="none"/>
          <w:shd w:val="clear" w:color="auto" w:fill="auto"/>
          <w:lang w:val="en-US" w:eastAsia="zh-CN"/>
        </w:rPr>
        <w:t>11</w:t>
      </w:r>
      <w:r>
        <w:rPr>
          <w:rFonts w:hint="default" w:ascii="Times New Roman" w:hAnsi="Times New Roman" w:cs="Times New Roman" w:eastAsiaTheme="minorEastAsia"/>
          <w:color w:val="auto"/>
          <w:sz w:val="24"/>
          <w:szCs w:val="24"/>
          <w:highlight w:val="none"/>
          <w:shd w:val="clear" w:color="auto" w:fill="auto"/>
          <w:lang w:val="en-US" w:eastAsia="zh-CN"/>
        </w:rPr>
        <w:t>日10点30分将封装完好的响应文件递交至重庆储备粮管理集团有限公司梁平分公司二楼会议室</w:t>
      </w:r>
      <w:r>
        <w:rPr>
          <w:rFonts w:hint="default" w:ascii="Times New Roman" w:hAnsi="Times New Roman" w:cs="Times New Roman" w:eastAsiaTheme="minorEastAsia"/>
          <w:color w:val="auto"/>
          <w:sz w:val="24"/>
          <w:szCs w:val="24"/>
          <w:highlight w:val="none"/>
          <w:shd w:val="clear" w:color="auto" w:fill="auto"/>
          <w:lang w:eastAsia="zh-CN"/>
        </w:rPr>
        <w:t>。</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逾期送达的或者未送达指定地点的</w:t>
      </w:r>
      <w:r>
        <w:rPr>
          <w:rFonts w:hint="default" w:ascii="Times New Roman" w:hAnsi="Times New Roman" w:cs="Times New Roman" w:eastAsiaTheme="minorEastAsia"/>
          <w:color w:val="auto"/>
          <w:sz w:val="24"/>
          <w:szCs w:val="24"/>
          <w:highlight w:val="none"/>
          <w:shd w:val="clear" w:color="auto" w:fill="auto"/>
          <w:lang w:val="en-US" w:eastAsia="zh-CN"/>
        </w:rPr>
        <w:t>响应</w:t>
      </w:r>
      <w:r>
        <w:rPr>
          <w:rFonts w:hint="default" w:ascii="Times New Roman" w:hAnsi="Times New Roman" w:cs="Times New Roman" w:eastAsiaTheme="minorEastAsia"/>
          <w:color w:val="auto"/>
          <w:sz w:val="24"/>
          <w:szCs w:val="24"/>
          <w:highlight w:val="none"/>
          <w:shd w:val="clear" w:color="auto" w:fill="auto"/>
          <w:lang w:eastAsia="zh-CN"/>
        </w:rPr>
        <w:t>文件，比选人及代理机构不予受理。</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bookmarkStart w:id="8" w:name="_Hlk148263824"/>
      <w:r>
        <w:rPr>
          <w:rFonts w:hint="default" w:ascii="Times New Roman" w:hAnsi="Times New Roman" w:cs="Times New Roman" w:eastAsiaTheme="minorEastAsia"/>
          <w:color w:val="auto"/>
          <w:sz w:val="24"/>
          <w:szCs w:val="24"/>
          <w:highlight w:val="none"/>
          <w:shd w:val="clear" w:color="auto" w:fill="auto"/>
          <w:lang w:val="en-US" w:eastAsia="zh-CN"/>
        </w:rPr>
        <w:t>3.比选</w:t>
      </w:r>
      <w:r>
        <w:rPr>
          <w:rFonts w:hint="default" w:ascii="Times New Roman" w:hAnsi="Times New Roman" w:cs="Times New Roman" w:eastAsiaTheme="minorEastAsia"/>
          <w:color w:val="auto"/>
          <w:sz w:val="24"/>
          <w:szCs w:val="24"/>
          <w:highlight w:val="none"/>
          <w:shd w:val="clear" w:color="auto" w:fill="auto"/>
          <w:lang w:eastAsia="zh-CN"/>
        </w:rPr>
        <w:t>开始时间：2025年</w:t>
      </w:r>
      <w:r>
        <w:rPr>
          <w:rFonts w:hint="default" w:ascii="Times New Roman" w:hAnsi="Times New Roman" w:cs="Times New Roman" w:eastAsiaTheme="minorEastAsia"/>
          <w:color w:val="auto"/>
          <w:sz w:val="24"/>
          <w:szCs w:val="24"/>
          <w:highlight w:val="none"/>
          <w:shd w:val="clear" w:color="auto" w:fill="auto"/>
          <w:lang w:val="en-US" w:eastAsia="zh-CN"/>
        </w:rPr>
        <w:t>12</w:t>
      </w:r>
      <w:r>
        <w:rPr>
          <w:rFonts w:hint="default" w:ascii="Times New Roman" w:hAnsi="Times New Roman" w:cs="Times New Roman" w:eastAsiaTheme="minorEastAsia"/>
          <w:color w:val="auto"/>
          <w:sz w:val="24"/>
          <w:szCs w:val="24"/>
          <w:highlight w:val="none"/>
          <w:shd w:val="clear" w:color="auto" w:fill="auto"/>
          <w:lang w:eastAsia="zh-CN"/>
        </w:rPr>
        <w:t>月</w:t>
      </w:r>
      <w:r>
        <w:rPr>
          <w:rFonts w:hint="eastAsia" w:ascii="Times New Roman" w:hAnsi="Times New Roman" w:cs="Times New Roman" w:eastAsiaTheme="minorEastAsia"/>
          <w:color w:val="auto"/>
          <w:sz w:val="24"/>
          <w:szCs w:val="24"/>
          <w:highlight w:val="none"/>
          <w:shd w:val="clear" w:color="auto" w:fill="auto"/>
          <w:lang w:val="en-US" w:eastAsia="zh-CN"/>
        </w:rPr>
        <w:t>11</w:t>
      </w:r>
      <w:r>
        <w:rPr>
          <w:rFonts w:hint="default" w:ascii="Times New Roman" w:hAnsi="Times New Roman" w:cs="Times New Roman" w:eastAsiaTheme="minorEastAsia"/>
          <w:color w:val="auto"/>
          <w:sz w:val="24"/>
          <w:szCs w:val="24"/>
          <w:highlight w:val="none"/>
          <w:shd w:val="clear" w:color="auto" w:fill="auto"/>
          <w:lang w:eastAsia="zh-CN"/>
        </w:rPr>
        <w:t>日北京时间1</w:t>
      </w:r>
      <w:r>
        <w:rPr>
          <w:rFonts w:hint="default" w:ascii="Times New Roman" w:hAnsi="Times New Roman" w:cs="Times New Roman" w:eastAsiaTheme="minorEastAsia"/>
          <w:color w:val="auto"/>
          <w:sz w:val="24"/>
          <w:szCs w:val="24"/>
          <w:highlight w:val="none"/>
          <w:shd w:val="clear" w:color="auto" w:fill="auto"/>
          <w:lang w:val="en-US" w:eastAsia="zh-CN"/>
        </w:rPr>
        <w:t>0点3</w:t>
      </w:r>
      <w:r>
        <w:rPr>
          <w:rFonts w:hint="default" w:ascii="Times New Roman" w:hAnsi="Times New Roman" w:cs="Times New Roman" w:eastAsiaTheme="minorEastAsia"/>
          <w:color w:val="auto"/>
          <w:sz w:val="24"/>
          <w:szCs w:val="24"/>
          <w:highlight w:val="none"/>
          <w:shd w:val="clear" w:color="auto" w:fill="auto"/>
          <w:lang w:eastAsia="zh-CN"/>
        </w:rPr>
        <w:t>0</w:t>
      </w:r>
      <w:r>
        <w:rPr>
          <w:rFonts w:hint="default" w:ascii="Times New Roman" w:hAnsi="Times New Roman" w:cs="Times New Roman" w:eastAsiaTheme="minorEastAsia"/>
          <w:color w:val="auto"/>
          <w:sz w:val="24"/>
          <w:szCs w:val="24"/>
          <w:highlight w:val="none"/>
          <w:shd w:val="clear" w:color="auto" w:fill="auto"/>
          <w:lang w:val="en-US" w:eastAsia="zh-CN"/>
        </w:rPr>
        <w:t>分</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注：</w:t>
      </w:r>
      <w:r>
        <w:rPr>
          <w:rFonts w:hint="default" w:ascii="Times New Roman" w:hAnsi="Times New Roman" w:cs="Times New Roman" w:eastAsiaTheme="minorEastAsia"/>
          <w:color w:val="auto"/>
          <w:sz w:val="24"/>
          <w:szCs w:val="24"/>
          <w:highlight w:val="none"/>
          <w:shd w:val="clear" w:color="auto" w:fill="auto"/>
          <w:lang w:eastAsia="zh-CN"/>
        </w:rPr>
        <w:t>供应商的法定代表人或其授权代表须携带响应文件到达指定的比选地点参加比选。逾期送达的或者未送达指定地点的响应文件，不予受理，其后果由供应商自行承担。比选开始后供应商须根据代理机构引导来完成比选等工作。</w:t>
      </w:r>
      <w:r>
        <w:rPr>
          <w:rFonts w:hint="default" w:ascii="Times New Roman" w:hAnsi="Times New Roman" w:cs="Times New Roman" w:eastAsiaTheme="minorEastAsia"/>
          <w:color w:val="auto"/>
          <w:sz w:val="24"/>
          <w:szCs w:val="24"/>
          <w:highlight w:val="none"/>
          <w:shd w:val="clear" w:color="auto" w:fill="auto"/>
          <w:lang w:val="en-US" w:eastAsia="zh-CN"/>
        </w:rPr>
        <w:t>比选</w:t>
      </w:r>
      <w:r>
        <w:rPr>
          <w:rFonts w:hint="default" w:ascii="Times New Roman" w:hAnsi="Times New Roman" w:cs="Times New Roman" w:eastAsiaTheme="minorEastAsia"/>
          <w:color w:val="auto"/>
          <w:sz w:val="24"/>
          <w:szCs w:val="24"/>
          <w:highlight w:val="none"/>
          <w:shd w:val="clear" w:color="auto" w:fill="auto"/>
          <w:lang w:eastAsia="zh-CN"/>
        </w:rPr>
        <w:t>地点</w:t>
      </w:r>
      <w:r>
        <w:rPr>
          <w:rFonts w:hint="default" w:ascii="Times New Roman" w:hAnsi="Times New Roman" w:cs="Times New Roman" w:eastAsiaTheme="minorEastAsia"/>
          <w:color w:val="auto"/>
          <w:sz w:val="24"/>
          <w:szCs w:val="24"/>
          <w:highlight w:val="none"/>
          <w:shd w:val="clear" w:color="auto" w:fill="auto"/>
          <w:lang w:val="en-US" w:eastAsia="zh-CN"/>
        </w:rPr>
        <w:t>为</w:t>
      </w:r>
      <w:r>
        <w:rPr>
          <w:rFonts w:hint="default" w:ascii="Times New Roman" w:hAnsi="Times New Roman" w:cs="Times New Roman" w:eastAsiaTheme="minorEastAsia"/>
          <w:color w:val="auto"/>
          <w:sz w:val="24"/>
          <w:szCs w:val="24"/>
          <w:highlight w:val="none"/>
          <w:shd w:val="clear" w:color="auto" w:fill="auto"/>
          <w:lang w:eastAsia="zh-CN"/>
        </w:rPr>
        <w:t>重庆储备粮管理集团有限公司梁平分公司</w:t>
      </w:r>
      <w:r>
        <w:rPr>
          <w:rFonts w:hint="default" w:ascii="Times New Roman" w:hAnsi="Times New Roman" w:cs="Times New Roman" w:eastAsiaTheme="minorEastAsia"/>
          <w:color w:val="auto"/>
          <w:sz w:val="24"/>
          <w:szCs w:val="24"/>
          <w:highlight w:val="none"/>
          <w:shd w:val="clear" w:color="auto" w:fill="auto"/>
          <w:lang w:val="en-US" w:eastAsia="zh-CN"/>
        </w:rPr>
        <w:t>二楼</w:t>
      </w:r>
      <w:r>
        <w:rPr>
          <w:rFonts w:hint="default" w:ascii="Times New Roman" w:hAnsi="Times New Roman" w:cs="Times New Roman" w:eastAsiaTheme="minorEastAsia"/>
          <w:color w:val="auto"/>
          <w:sz w:val="24"/>
          <w:szCs w:val="24"/>
          <w:highlight w:val="none"/>
          <w:shd w:val="clear" w:color="auto" w:fill="auto"/>
          <w:lang w:eastAsia="zh-CN"/>
        </w:rPr>
        <w:t>会议室。</w:t>
      </w:r>
    </w:p>
    <w:bookmarkEnd w:id="8"/>
    <w:p>
      <w:pPr>
        <w:pStyle w:val="4"/>
        <w:spacing w:line="500" w:lineRule="exact"/>
        <w:rPr>
          <w:rFonts w:hint="default" w:ascii="Times New Roman" w:hAnsi="Times New Roman" w:eastAsia="方正楷体_GBK" w:cs="Times New Roman"/>
          <w:b/>
          <w:color w:val="auto"/>
          <w:szCs w:val="28"/>
          <w:highlight w:val="none"/>
          <w:shd w:val="clear" w:color="auto" w:fill="auto"/>
          <w:lang w:eastAsia="zh-CN"/>
        </w:rPr>
      </w:pPr>
      <w:bookmarkStart w:id="9" w:name="_Toc3734"/>
      <w:bookmarkStart w:id="10" w:name="_Toc30839"/>
      <w:r>
        <w:rPr>
          <w:rFonts w:hint="default" w:ascii="Times New Roman" w:hAnsi="Times New Roman" w:eastAsia="方正楷体_GBK" w:cs="Times New Roman"/>
          <w:b/>
          <w:color w:val="auto"/>
          <w:szCs w:val="28"/>
          <w:highlight w:val="none"/>
          <w:shd w:val="clear" w:color="auto" w:fill="auto"/>
          <w:lang w:eastAsia="zh-CN"/>
        </w:rPr>
        <w:t>比选保证金</w:t>
      </w:r>
      <w:bookmarkEnd w:id="9"/>
      <w:bookmarkEnd w:id="10"/>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为响应国家政策，优化营商环境，减轻供应商负担，本项目不收取保证金。</w:t>
      </w:r>
    </w:p>
    <w:p>
      <w:pPr>
        <w:pStyle w:val="4"/>
        <w:spacing w:line="500" w:lineRule="exact"/>
        <w:rPr>
          <w:rFonts w:hint="default" w:ascii="Times New Roman" w:hAnsi="Times New Roman" w:eastAsia="方正楷体_GBK" w:cs="Times New Roman"/>
          <w:b/>
          <w:color w:val="auto"/>
          <w:szCs w:val="28"/>
          <w:highlight w:val="none"/>
          <w:shd w:val="clear" w:color="auto" w:fill="auto"/>
          <w:lang w:eastAsia="zh-CN"/>
        </w:rPr>
      </w:pPr>
      <w:bookmarkStart w:id="11" w:name="_Toc7240"/>
      <w:bookmarkStart w:id="12" w:name="_Toc29543"/>
      <w:r>
        <w:rPr>
          <w:rFonts w:hint="default" w:ascii="Times New Roman" w:hAnsi="Times New Roman" w:eastAsia="方正楷体_GBK" w:cs="Times New Roman"/>
          <w:b/>
          <w:color w:val="auto"/>
          <w:szCs w:val="28"/>
          <w:highlight w:val="none"/>
          <w:shd w:val="clear" w:color="auto" w:fill="auto"/>
          <w:lang w:eastAsia="zh-CN"/>
        </w:rPr>
        <w:t>其他有关规定</w:t>
      </w:r>
      <w:bookmarkEnd w:id="11"/>
      <w:bookmarkEnd w:id="12"/>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1.</w:t>
      </w:r>
      <w:r>
        <w:rPr>
          <w:rFonts w:hint="default" w:ascii="Times New Roman" w:hAnsi="Times New Roman" w:cs="Times New Roman" w:eastAsiaTheme="minorEastAsia"/>
          <w:color w:val="auto"/>
          <w:sz w:val="24"/>
          <w:szCs w:val="24"/>
          <w:highlight w:val="none"/>
          <w:shd w:val="clear" w:color="auto" w:fill="auto"/>
          <w:lang w:eastAsia="zh-CN"/>
        </w:rPr>
        <w:t>单位负责人为同一人或者存在直接控股、管理关系的不同供应商，不得参加同一合同项（分包）下的采购活动，否则均为无效报价。</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2.</w:t>
      </w:r>
      <w:r>
        <w:rPr>
          <w:rFonts w:hint="default" w:ascii="Times New Roman" w:hAnsi="Times New Roman" w:cs="Times New Roman" w:eastAsiaTheme="minorEastAsia"/>
          <w:color w:val="auto"/>
          <w:sz w:val="24"/>
          <w:szCs w:val="24"/>
          <w:highlight w:val="none"/>
          <w:shd w:val="clear" w:color="auto" w:fill="auto"/>
          <w:lang w:eastAsia="zh-CN"/>
        </w:rPr>
        <w:t>为采购项目提供整体设计、规范编制或者项目管理、监理、检测等服务的供应商，不得再参加该采购项目的其他采购活动。</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3.</w:t>
      </w:r>
      <w:r>
        <w:rPr>
          <w:rFonts w:hint="default" w:ascii="Times New Roman" w:hAnsi="Times New Roman" w:cs="Times New Roman" w:eastAsiaTheme="minorEastAsia"/>
          <w:color w:val="auto"/>
          <w:sz w:val="24"/>
          <w:szCs w:val="24"/>
          <w:highlight w:val="none"/>
          <w:shd w:val="clear" w:color="auto" w:fill="auto"/>
          <w:lang w:eastAsia="zh-CN"/>
        </w:rPr>
        <w:t>同一合同项（分包）下的货物，制造商参与报价的，不得再委托代理商参与报价。</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4.</w:t>
      </w:r>
      <w:r>
        <w:rPr>
          <w:rFonts w:hint="default" w:ascii="Times New Roman" w:hAnsi="Times New Roman" w:cs="Times New Roman" w:eastAsiaTheme="minorEastAsia"/>
          <w:color w:val="auto"/>
          <w:sz w:val="24"/>
          <w:szCs w:val="24"/>
          <w:highlight w:val="none"/>
          <w:shd w:val="clear" w:color="auto" w:fill="auto"/>
          <w:lang w:eastAsia="zh-CN"/>
        </w:rPr>
        <w:t>同一合同项（分包）下为单一品目或非单一品目核心产品品牌的货物采购中，同一品牌同一型号产品有多家供应商参加比选，只能按照一家供应商计算。</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 xml:space="preserve"> </w:t>
      </w:r>
      <w:r>
        <w:rPr>
          <w:rFonts w:hint="default" w:ascii="Times New Roman" w:hAnsi="Times New Roman" w:cs="Times New Roman" w:eastAsiaTheme="minorEastAsia"/>
          <w:color w:val="auto"/>
          <w:sz w:val="24"/>
          <w:szCs w:val="24"/>
          <w:highlight w:val="none"/>
          <w:shd w:val="clear" w:color="auto" w:fill="auto"/>
          <w:lang w:val="en-US" w:eastAsia="zh-CN"/>
        </w:rPr>
        <w:t>5.</w:t>
      </w:r>
      <w:r>
        <w:rPr>
          <w:rFonts w:hint="default" w:ascii="Times New Roman" w:hAnsi="Times New Roman" w:cs="Times New Roman" w:eastAsiaTheme="minorEastAsia"/>
          <w:color w:val="auto"/>
          <w:sz w:val="24"/>
          <w:szCs w:val="24"/>
          <w:highlight w:val="none"/>
          <w:shd w:val="clear" w:color="auto" w:fill="auto"/>
          <w:lang w:eastAsia="zh-CN"/>
        </w:rPr>
        <w:t>本项目所有澄清文件（如果有）在</w:t>
      </w:r>
      <w:r>
        <w:rPr>
          <w:rFonts w:hint="default" w:ascii="Times New Roman" w:hAnsi="Times New Roman" w:cs="Times New Roman" w:eastAsiaTheme="minorEastAsia"/>
          <w:color w:val="auto"/>
          <w:sz w:val="24"/>
          <w:szCs w:val="24"/>
          <w:highlight w:val="none"/>
          <w:shd w:val="clear" w:color="auto" w:fill="auto"/>
          <w:lang w:val="en-US" w:eastAsia="zh-CN"/>
        </w:rPr>
        <w:t>梁平信息网</w:t>
      </w:r>
      <w:r>
        <w:rPr>
          <w:rFonts w:hint="default" w:ascii="Times New Roman" w:hAnsi="Times New Roman" w:cs="Times New Roman" w:eastAsiaTheme="minorEastAsia"/>
          <w:color w:val="auto"/>
          <w:sz w:val="24"/>
          <w:szCs w:val="24"/>
          <w:highlight w:val="none"/>
          <w:shd w:val="clear" w:color="auto" w:fill="auto"/>
          <w:lang w:eastAsia="zh-CN"/>
        </w:rPr>
        <w:t>上发布，请各供应商注意下载，无论供应商下载与否，均视同供应商已知晓本项目澄清文件（如果有）的内容。</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6.</w:t>
      </w:r>
      <w:r>
        <w:rPr>
          <w:rFonts w:hint="default" w:ascii="Times New Roman" w:hAnsi="Times New Roman" w:cs="Times New Roman" w:eastAsiaTheme="minorEastAsia"/>
          <w:color w:val="auto"/>
          <w:sz w:val="24"/>
          <w:szCs w:val="24"/>
          <w:highlight w:val="none"/>
          <w:shd w:val="clear" w:color="auto" w:fill="auto"/>
          <w:lang w:eastAsia="zh-CN"/>
        </w:rPr>
        <w:t>超过响应文件截止时间递交的响应文件，恕不接受。</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7.</w:t>
      </w:r>
      <w:r>
        <w:rPr>
          <w:rFonts w:hint="default" w:ascii="Times New Roman" w:hAnsi="Times New Roman" w:cs="Times New Roman" w:eastAsiaTheme="minorEastAsia"/>
          <w:color w:val="auto"/>
          <w:sz w:val="24"/>
          <w:szCs w:val="24"/>
          <w:highlight w:val="none"/>
          <w:shd w:val="clear" w:color="auto" w:fill="auto"/>
          <w:lang w:eastAsia="zh-CN"/>
        </w:rPr>
        <w:t>比选费用：无论比选结果如何，供应商参与本项目比选的所有费用均应由供应商自行承担。</w:t>
      </w:r>
    </w:p>
    <w:p>
      <w:pPr>
        <w:snapToGrid w:val="0"/>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8.</w:t>
      </w:r>
      <w:r>
        <w:rPr>
          <w:rFonts w:hint="default" w:ascii="Times New Roman" w:hAnsi="Times New Roman" w:cs="Times New Roman" w:eastAsiaTheme="minorEastAsia"/>
          <w:color w:val="auto"/>
          <w:sz w:val="24"/>
          <w:szCs w:val="24"/>
          <w:highlight w:val="none"/>
          <w:shd w:val="clear" w:color="auto" w:fill="auto"/>
          <w:lang w:eastAsia="zh-CN"/>
        </w:rPr>
        <w:t>本项目不接受联合体参与比选，否则按无效处理。</w:t>
      </w:r>
    </w:p>
    <w:p>
      <w:pPr>
        <w:snapToGrid w:val="0"/>
        <w:spacing w:line="400" w:lineRule="exact"/>
        <w:ind w:firstLine="480" w:firstLineChars="200"/>
        <w:rPr>
          <w:rFonts w:hint="default" w:ascii="Times New Roman" w:hAnsi="Times New Roman" w:eastAsia="仿宋" w:cs="Times New Roman"/>
          <w:color w:val="auto"/>
          <w:sz w:val="24"/>
          <w:szCs w:val="24"/>
          <w:highlight w:val="none"/>
          <w:shd w:val="clear" w:color="auto" w:fill="auto"/>
        </w:rPr>
      </w:pPr>
      <w:r>
        <w:rPr>
          <w:rFonts w:hint="default" w:ascii="Times New Roman" w:hAnsi="Times New Roman" w:cs="Times New Roman" w:eastAsiaTheme="minorEastAsia"/>
          <w:color w:val="auto"/>
          <w:sz w:val="24"/>
          <w:szCs w:val="24"/>
          <w:highlight w:val="none"/>
          <w:shd w:val="clear" w:color="auto" w:fill="auto"/>
          <w:lang w:val="en-US" w:eastAsia="zh-CN"/>
        </w:rPr>
        <w:t>9.</w:t>
      </w:r>
      <w:r>
        <w:rPr>
          <w:rFonts w:hint="default" w:ascii="Times New Roman" w:hAnsi="Times New Roman" w:cs="Times New Roman" w:eastAsiaTheme="minorEastAsia"/>
          <w:color w:val="auto"/>
          <w:sz w:val="24"/>
          <w:szCs w:val="24"/>
          <w:highlight w:val="none"/>
          <w:shd w:val="clear" w:color="auto" w:fill="auto"/>
          <w:lang w:eastAsia="zh-CN"/>
        </w:rPr>
        <w:t>本项目不接受合同分包，否则按无效处理</w:t>
      </w:r>
      <w:r>
        <w:rPr>
          <w:rFonts w:hint="default" w:ascii="Times New Roman" w:hAnsi="Times New Roman" w:eastAsia="仿宋" w:cs="Times New Roman"/>
          <w:color w:val="auto"/>
          <w:sz w:val="24"/>
          <w:szCs w:val="24"/>
          <w:highlight w:val="none"/>
          <w:shd w:val="clear" w:color="auto" w:fill="auto"/>
        </w:rPr>
        <w:t>。</w:t>
      </w:r>
    </w:p>
    <w:p>
      <w:pPr>
        <w:spacing w:line="400" w:lineRule="exact"/>
        <w:ind w:firstLine="480" w:firstLineChars="200"/>
        <w:rPr>
          <w:rFonts w:hint="default" w:ascii="Times New Roman" w:hAnsi="Times New Roman" w:eastAsia="仿宋" w:cs="Times New Roman"/>
          <w:color w:val="FF0000"/>
          <w:sz w:val="24"/>
          <w:szCs w:val="24"/>
          <w:highlight w:val="none"/>
          <w:shd w:val="clear" w:color="auto" w:fill="auto"/>
        </w:rPr>
      </w:pPr>
      <w:r>
        <w:rPr>
          <w:rFonts w:hint="default" w:ascii="Times New Roman" w:hAnsi="Times New Roman" w:cs="Times New Roman" w:eastAsiaTheme="minorEastAsia"/>
          <w:color w:val="auto"/>
          <w:sz w:val="24"/>
          <w:szCs w:val="24"/>
          <w:highlight w:val="none"/>
          <w:shd w:val="clear" w:color="auto" w:fill="auto"/>
          <w:lang w:val="en-US" w:eastAsia="zh-CN"/>
        </w:rPr>
        <w:t>10.</w:t>
      </w:r>
      <w:r>
        <w:rPr>
          <w:rFonts w:hint="default" w:ascii="Times New Roman" w:hAnsi="Times New Roman" w:cs="Times New Roman" w:eastAsiaTheme="minorEastAsia"/>
          <w:color w:val="auto"/>
          <w:sz w:val="24"/>
          <w:szCs w:val="24"/>
          <w:highlight w:val="none"/>
          <w:shd w:val="clear" w:color="auto" w:fill="auto"/>
          <w:lang w:eastAsia="zh-CN"/>
        </w:rPr>
        <w:t>按照《财政部关于在政府采购活动中查询及使用信用记录有关问题的通知》财库〔2016〕125号，比选人及代理机构将在响应文件递交截止时间前通过‘信用中国’网站（www.creditchina.gov.cn）、中国政府采购网（www.ccgp.gov.cn）查询供应商信用记录，对列入失信被执行人、重大税收违法案件当事人名单、政府采购严重违法失信行为记录名单及其他不符合《中华人民共和国政府采购法》第二十二条规定条件的供应商，的供应商，拒绝其参与采购活动。</w:t>
      </w:r>
    </w:p>
    <w:p>
      <w:pPr>
        <w:pStyle w:val="4"/>
        <w:spacing w:line="500" w:lineRule="exact"/>
        <w:rPr>
          <w:rFonts w:hint="default" w:ascii="Times New Roman" w:hAnsi="Times New Roman" w:eastAsia="方正楷体_GBK" w:cs="Times New Roman"/>
          <w:b/>
          <w:color w:val="auto"/>
          <w:szCs w:val="28"/>
          <w:highlight w:val="none"/>
          <w:shd w:val="clear" w:color="auto" w:fill="auto"/>
          <w:lang w:eastAsia="zh-CN"/>
        </w:rPr>
      </w:pPr>
      <w:bookmarkStart w:id="13" w:name="_Toc7953"/>
      <w:bookmarkStart w:id="14" w:name="_Toc671"/>
      <w:r>
        <w:rPr>
          <w:rFonts w:hint="default" w:ascii="Times New Roman" w:hAnsi="Times New Roman" w:eastAsia="方正楷体_GBK" w:cs="Times New Roman"/>
          <w:b/>
          <w:color w:val="auto"/>
          <w:szCs w:val="28"/>
          <w:highlight w:val="none"/>
          <w:shd w:val="clear" w:color="auto" w:fill="auto"/>
          <w:lang w:eastAsia="zh-CN"/>
        </w:rPr>
        <w:t>联系方式</w:t>
      </w:r>
      <w:bookmarkEnd w:id="13"/>
      <w:bookmarkEnd w:id="14"/>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 xml:space="preserve">比选人：重庆储备粮管理集团有限公司梁平分公司 </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联系人：</w:t>
      </w:r>
      <w:r>
        <w:rPr>
          <w:rFonts w:hint="default" w:ascii="Times New Roman" w:hAnsi="Times New Roman" w:cs="Times New Roman" w:eastAsiaTheme="minorEastAsia"/>
          <w:color w:val="auto"/>
          <w:sz w:val="24"/>
          <w:szCs w:val="24"/>
          <w:highlight w:val="none"/>
          <w:shd w:val="clear" w:color="auto" w:fill="auto"/>
          <w:lang w:val="en-US" w:eastAsia="zh-CN"/>
        </w:rPr>
        <w:t>杜老师</w:t>
      </w:r>
      <w:r>
        <w:rPr>
          <w:rFonts w:hint="default" w:ascii="Times New Roman" w:hAnsi="Times New Roman" w:cs="Times New Roman" w:eastAsiaTheme="minorEastAsia"/>
          <w:color w:val="auto"/>
          <w:sz w:val="24"/>
          <w:szCs w:val="24"/>
          <w:highlight w:val="none"/>
          <w:shd w:val="clear" w:color="auto" w:fill="auto"/>
          <w:lang w:eastAsia="zh-CN"/>
        </w:rPr>
        <w:t xml:space="preserve"> </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eastAsia="zh-CN"/>
        </w:rPr>
        <w:t>电 话：</w:t>
      </w:r>
      <w:r>
        <w:rPr>
          <w:rFonts w:hint="default" w:ascii="Times New Roman" w:hAnsi="Times New Roman" w:cs="Times New Roman" w:eastAsiaTheme="minorEastAsia"/>
          <w:color w:val="auto"/>
          <w:sz w:val="24"/>
          <w:szCs w:val="24"/>
          <w:highlight w:val="none"/>
          <w:shd w:val="clear" w:color="auto" w:fill="auto"/>
          <w:lang w:val="en-US" w:eastAsia="zh-CN"/>
        </w:rPr>
        <w:t>18696888837</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 xml:space="preserve">地 址：重庆市梁平区梁山街道上八村2组131号综合楼 </w:t>
      </w:r>
    </w:p>
    <w:p>
      <w:pPr>
        <w:snapToGrid w:val="0"/>
        <w:spacing w:line="400" w:lineRule="exact"/>
        <w:rPr>
          <w:rFonts w:hint="default" w:ascii="Times New Roman" w:hAnsi="Times New Roman" w:eastAsia="仿宋" w:cs="Times New Roman"/>
          <w:color w:val="auto"/>
          <w:sz w:val="24"/>
          <w:szCs w:val="24"/>
          <w:highlight w:val="none"/>
          <w:shd w:val="clear" w:color="auto" w:fill="auto"/>
        </w:rPr>
      </w:pPr>
      <w:r>
        <w:rPr>
          <w:rFonts w:hint="default" w:ascii="Times New Roman" w:hAnsi="Times New Roman" w:eastAsia="仿宋" w:cs="Times New Roman"/>
          <w:color w:val="auto"/>
          <w:sz w:val="24"/>
          <w:szCs w:val="24"/>
          <w:highlight w:val="none"/>
          <w:shd w:val="clear" w:color="auto" w:fill="auto"/>
          <w:lang w:eastAsia="zh-CN"/>
        </w:rPr>
        <w:t xml:space="preserve"> </w:t>
      </w:r>
      <w:r>
        <w:rPr>
          <w:rFonts w:hint="default" w:ascii="Times New Roman" w:hAnsi="Times New Roman" w:eastAsia="仿宋" w:cs="Times New Roman"/>
          <w:color w:val="auto"/>
          <w:sz w:val="24"/>
          <w:szCs w:val="24"/>
          <w:highlight w:val="none"/>
          <w:shd w:val="clear" w:color="auto" w:fill="auto"/>
        </w:rPr>
        <w:t xml:space="preserve"> </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 xml:space="preserve">代理机构：重庆春林建设工程咨询有限公司 </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联系人：</w:t>
      </w:r>
      <w:r>
        <w:rPr>
          <w:rFonts w:hint="default" w:ascii="Times New Roman" w:hAnsi="Times New Roman" w:cs="Times New Roman" w:eastAsiaTheme="minorEastAsia"/>
          <w:color w:val="auto"/>
          <w:sz w:val="24"/>
          <w:szCs w:val="24"/>
          <w:highlight w:val="none"/>
          <w:shd w:val="clear" w:color="auto" w:fill="auto"/>
          <w:lang w:val="en-US" w:eastAsia="zh-CN"/>
        </w:rPr>
        <w:t>陈老师</w:t>
      </w:r>
      <w:r>
        <w:rPr>
          <w:rFonts w:hint="default" w:ascii="Times New Roman" w:hAnsi="Times New Roman" w:cs="Times New Roman" w:eastAsiaTheme="minorEastAsia"/>
          <w:color w:val="auto"/>
          <w:sz w:val="24"/>
          <w:szCs w:val="24"/>
          <w:highlight w:val="none"/>
          <w:shd w:val="clear" w:color="auto" w:fill="auto"/>
          <w:lang w:eastAsia="zh-CN"/>
        </w:rPr>
        <w:t xml:space="preserve"> </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eastAsia="zh-CN"/>
        </w:rPr>
        <w:t>电 话：</w:t>
      </w:r>
      <w:r>
        <w:rPr>
          <w:rFonts w:hint="default" w:ascii="Times New Roman" w:hAnsi="Times New Roman" w:cs="Times New Roman" w:eastAsiaTheme="minorEastAsia"/>
          <w:color w:val="auto"/>
          <w:sz w:val="24"/>
          <w:szCs w:val="24"/>
          <w:highlight w:val="none"/>
          <w:shd w:val="clear" w:color="auto" w:fill="auto"/>
          <w:lang w:val="en-US" w:eastAsia="zh-CN"/>
        </w:rPr>
        <w:t>17723270136</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eastAsia="zh-CN"/>
        </w:rPr>
        <w:t>地 址：重庆市永川区人民大道199号1幢2-5-8#</w:t>
      </w:r>
    </w:p>
    <w:p>
      <w:pPr>
        <w:snapToGrid w:val="0"/>
        <w:spacing w:line="400" w:lineRule="exact"/>
        <w:ind w:firstLine="480" w:firstLineChars="200"/>
        <w:rPr>
          <w:rFonts w:hint="default" w:ascii="Times New Roman" w:hAnsi="Times New Roman" w:eastAsia="仿宋" w:cs="Times New Roman"/>
          <w:color w:val="auto"/>
          <w:sz w:val="24"/>
          <w:szCs w:val="24"/>
          <w:highlight w:val="none"/>
          <w:shd w:val="clear" w:color="auto" w:fill="auto"/>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bookmarkStart w:id="15" w:name="_Toc21561"/>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jc w:val="cente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jc w:val="cente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jc w:val="cente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jc w:val="cente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jc w:val="cente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jc w:val="cente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p>
    <w:p>
      <w:pPr>
        <w:jc w:val="center"/>
        <w:outlineLvl w:val="0"/>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bookmarkStart w:id="16" w:name="_Toc11855"/>
      <w: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t xml:space="preserve">第二篇 </w:t>
      </w:r>
      <w:bookmarkEnd w:id="15"/>
      <w: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t>供应商须知</w:t>
      </w:r>
      <w:bookmarkEnd w:id="16"/>
    </w:p>
    <w:p>
      <w:pPr>
        <w:keepNext w:val="0"/>
        <w:keepLines w:val="0"/>
        <w:pageBreakBefore w:val="0"/>
        <w:widowControl w:val="0"/>
        <w:numPr>
          <w:ilvl w:val="1"/>
          <w:numId w:val="0"/>
        </w:numPr>
        <w:kinsoku/>
        <w:wordWrap w:val="0"/>
        <w:overflowPunct/>
        <w:topLinePunct w:val="0"/>
        <w:autoSpaceDE w:val="0"/>
        <w:autoSpaceDN w:val="0"/>
        <w:bidi w:val="0"/>
        <w:adjustRightInd w:val="0"/>
        <w:snapToGrid w:val="0"/>
        <w:spacing w:before="0" w:after="0" w:line="400" w:lineRule="exact"/>
        <w:jc w:val="left"/>
        <w:outlineLvl w:val="1"/>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pPr>
      <w:bookmarkStart w:id="17" w:name="_Toc21219"/>
      <w:bookmarkStart w:id="18" w:name="_Toc65660339"/>
      <w:bookmarkStart w:id="19" w:name="_Toc446"/>
      <w:bookmarkStart w:id="20" w:name="_Toc24129"/>
      <w:bookmarkStart w:id="21" w:name="_Toc11758"/>
      <w:bookmarkStart w:id="22" w:name="_Toc26971"/>
      <w:r>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t>一、总则</w:t>
      </w:r>
      <w:bookmarkEnd w:id="17"/>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1.1 项目概况</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根据有关法律、法规和规章的规定，本比选项目已具备比选条件，现对本项目进行比选。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项目比选人：重庆储备粮管理集团有限公司梁平分公司。</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项目代理机构：重庆春林建设工程咨询有限公司。</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项目名称：重庆储备粮管理集团有限公司梁平分公司会议系统设备采购项目。</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1.2 资金来源和落实情况</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项目的资金来源：</w:t>
      </w:r>
      <w:r>
        <w:rPr>
          <w:rFonts w:hint="default" w:ascii="Times New Roman" w:hAnsi="Times New Roman" w:cs="Times New Roman" w:eastAsiaTheme="minorEastAsia"/>
          <w:color w:val="auto"/>
          <w:sz w:val="24"/>
          <w:szCs w:val="24"/>
          <w:highlight w:val="none"/>
          <w:shd w:val="clear" w:color="auto" w:fill="auto"/>
          <w:lang w:val="en-US" w:eastAsia="zh-CN"/>
        </w:rPr>
        <w:t>业主自筹资金</w:t>
      </w:r>
      <w:r>
        <w:rPr>
          <w:rFonts w:hint="default" w:ascii="Times New Roman" w:hAnsi="Times New Roman" w:cs="Times New Roman" w:eastAsiaTheme="minorEastAsia"/>
          <w:color w:val="auto"/>
          <w:sz w:val="24"/>
          <w:szCs w:val="24"/>
          <w:highlight w:val="none"/>
          <w:shd w:val="clear" w:color="auto" w:fill="auto"/>
          <w:lang w:eastAsia="zh-CN"/>
        </w:rPr>
        <w:t>。</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项目的出资比例：</w:t>
      </w:r>
      <w:r>
        <w:rPr>
          <w:rFonts w:hint="default" w:ascii="Times New Roman" w:hAnsi="Times New Roman" w:cs="Times New Roman" w:eastAsiaTheme="minorEastAsia"/>
          <w:color w:val="auto"/>
          <w:sz w:val="24"/>
          <w:szCs w:val="24"/>
          <w:highlight w:val="none"/>
          <w:shd w:val="clear" w:color="auto" w:fill="auto"/>
          <w:lang w:val="en-US" w:eastAsia="zh-CN"/>
        </w:rPr>
        <w:t>100%</w:t>
      </w:r>
      <w:r>
        <w:rPr>
          <w:rFonts w:hint="default" w:ascii="Times New Roman" w:hAnsi="Times New Roman" w:cs="Times New Roman" w:eastAsiaTheme="minorEastAsia"/>
          <w:color w:val="auto"/>
          <w:sz w:val="24"/>
          <w:szCs w:val="24"/>
          <w:highlight w:val="none"/>
          <w:shd w:val="clear" w:color="auto" w:fill="auto"/>
          <w:lang w:eastAsia="zh-CN"/>
        </w:rPr>
        <w:t>。</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项目的资金落实情况：</w:t>
      </w:r>
      <w:r>
        <w:rPr>
          <w:rFonts w:hint="default" w:ascii="Times New Roman" w:hAnsi="Times New Roman" w:cs="Times New Roman" w:eastAsiaTheme="minorEastAsia"/>
          <w:color w:val="auto"/>
          <w:sz w:val="24"/>
          <w:szCs w:val="24"/>
          <w:highlight w:val="none"/>
          <w:shd w:val="clear" w:color="auto" w:fill="auto"/>
          <w:lang w:val="en-US" w:eastAsia="zh-CN"/>
        </w:rPr>
        <w:t>已落实</w:t>
      </w:r>
      <w:r>
        <w:rPr>
          <w:rFonts w:hint="default" w:ascii="Times New Roman" w:hAnsi="Times New Roman" w:cs="Times New Roman" w:eastAsiaTheme="minorEastAsia"/>
          <w:color w:val="auto"/>
          <w:sz w:val="24"/>
          <w:szCs w:val="24"/>
          <w:highlight w:val="none"/>
          <w:shd w:val="clear" w:color="auto" w:fill="auto"/>
          <w:lang w:eastAsia="zh-CN"/>
        </w:rPr>
        <w:t>。</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1.3 比选范围、计划供货期和质量要求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比选范围：拟采购会议系统设备（含LED屏-大会议室、视频处理器、高清摄像机、全场景智慧平板-小会议室、视频会议终端主机、视频会议摄像机、会议音响、无线话筒、设备机柜）等设备，具体以清单表为准。</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供货期</w:t>
      </w: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60</w:t>
      </w:r>
      <w:r>
        <w:rPr>
          <w:rFonts w:hint="default" w:ascii="Times New Roman" w:hAnsi="Times New Roman" w:cs="Times New Roman" w:eastAsiaTheme="minorEastAsia"/>
          <w:color w:val="auto"/>
          <w:sz w:val="24"/>
          <w:szCs w:val="24"/>
          <w:highlight w:val="none"/>
          <w:shd w:val="clear" w:color="auto" w:fill="auto"/>
          <w:lang w:eastAsia="zh-CN"/>
        </w:rPr>
        <w:t>日历天（期限时间包括设备到场安装、调试、试验合格并能正常使用）。</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质保期要求：质保期不低于国家“三包”等有关法律法规规定的标准期限（</w:t>
      </w:r>
      <w:r>
        <w:rPr>
          <w:rFonts w:hint="default" w:ascii="Times New Roman" w:hAnsi="Times New Roman" w:cs="Times New Roman" w:eastAsiaTheme="minorEastAsia"/>
          <w:color w:val="auto"/>
          <w:sz w:val="24"/>
          <w:szCs w:val="24"/>
          <w:highlight w:val="none"/>
          <w:shd w:val="clear" w:color="auto" w:fill="auto"/>
          <w:lang w:val="en-US" w:eastAsia="zh-CN"/>
        </w:rPr>
        <w:t>质保期内清单内的设备，均由中选供应商负责更换或维修或维护</w:t>
      </w:r>
      <w:r>
        <w:rPr>
          <w:rFonts w:hint="default" w:ascii="Times New Roman" w:hAnsi="Times New Roman" w:cs="Times New Roman" w:eastAsiaTheme="minorEastAsia"/>
          <w:color w:val="auto"/>
          <w:sz w:val="24"/>
          <w:szCs w:val="24"/>
          <w:highlight w:val="none"/>
          <w:shd w:val="clear" w:color="auto" w:fill="auto"/>
          <w:lang w:eastAsia="zh-CN"/>
        </w:rPr>
        <w:t>）</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1.4 供应商资格要求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val="en-US" w:eastAsia="zh-CN"/>
        </w:rPr>
        <w:t>1.</w:t>
      </w:r>
      <w:r>
        <w:rPr>
          <w:rFonts w:hint="default" w:ascii="Times New Roman" w:hAnsi="Times New Roman" w:cs="Times New Roman" w:eastAsiaTheme="minorEastAsia"/>
          <w:color w:val="auto"/>
          <w:sz w:val="24"/>
          <w:szCs w:val="24"/>
          <w:highlight w:val="none"/>
          <w:shd w:val="clear" w:color="auto" w:fill="auto"/>
          <w:lang w:eastAsia="zh-CN"/>
        </w:rPr>
        <w:t xml:space="preserve">4.1 </w:t>
      </w:r>
      <w:r>
        <w:rPr>
          <w:rFonts w:hint="default" w:ascii="Times New Roman" w:hAnsi="Times New Roman" w:cs="Times New Roman" w:eastAsiaTheme="minorEastAsia"/>
          <w:color w:val="auto"/>
          <w:sz w:val="24"/>
          <w:szCs w:val="24"/>
          <w:highlight w:val="none"/>
          <w:shd w:val="clear" w:color="auto" w:fill="auto"/>
          <w:lang w:val="en-US" w:eastAsia="zh-CN"/>
        </w:rPr>
        <w:t>基本资格要求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1</w:t>
      </w:r>
      <w:r>
        <w:rPr>
          <w:rFonts w:hint="default" w:ascii="Times New Roman" w:hAnsi="Times New Roman" w:cs="Times New Roman" w:eastAsiaTheme="minorEastAsia"/>
          <w:color w:val="auto"/>
          <w:sz w:val="24"/>
          <w:szCs w:val="24"/>
          <w:highlight w:val="none"/>
          <w:shd w:val="clear" w:color="auto" w:fill="auto"/>
          <w:lang w:eastAsia="zh-CN"/>
        </w:rPr>
        <w:t>）具有独立法人资格，具备有效的营业执照；</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注：提供有效营业执照（提供复印件并加盖供应商法人章），供应商法定代表人身份证明和法定代表人授权代表委托书。</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2</w:t>
      </w:r>
      <w:r>
        <w:rPr>
          <w:rFonts w:hint="default" w:ascii="Times New Roman" w:hAnsi="Times New Roman" w:cs="Times New Roman" w:eastAsiaTheme="minorEastAsia"/>
          <w:color w:val="auto"/>
          <w:sz w:val="24"/>
          <w:szCs w:val="24"/>
          <w:highlight w:val="none"/>
          <w:shd w:val="clear" w:color="auto" w:fill="auto"/>
          <w:lang w:eastAsia="zh-CN"/>
        </w:rPr>
        <w:t>）具有良好的商业信誉和健全的财务会计制度；</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注：提供承诺（格式自拟）。</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3</w:t>
      </w:r>
      <w:r>
        <w:rPr>
          <w:rFonts w:hint="default" w:ascii="Times New Roman" w:hAnsi="Times New Roman" w:cs="Times New Roman" w:eastAsiaTheme="minorEastAsia"/>
          <w:color w:val="auto"/>
          <w:sz w:val="24"/>
          <w:szCs w:val="24"/>
          <w:highlight w:val="none"/>
          <w:shd w:val="clear" w:color="auto" w:fill="auto"/>
          <w:lang w:eastAsia="zh-CN"/>
        </w:rPr>
        <w:t>）具有履行合同所必需的设备和专业技术能力；</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注：提供承诺（格式自拟）。</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4</w:t>
      </w:r>
      <w:r>
        <w:rPr>
          <w:rFonts w:hint="default" w:ascii="Times New Roman" w:hAnsi="Times New Roman" w:cs="Times New Roman" w:eastAsiaTheme="minorEastAsia"/>
          <w:color w:val="auto"/>
          <w:sz w:val="24"/>
          <w:szCs w:val="24"/>
          <w:highlight w:val="none"/>
          <w:shd w:val="clear" w:color="auto" w:fill="auto"/>
          <w:lang w:eastAsia="zh-CN"/>
        </w:rPr>
        <w:t xml:space="preserve">）有依法缴纳税收和社会保障资金的良好记录； </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注：提供承诺（格式自拟）。</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5</w:t>
      </w:r>
      <w:r>
        <w:rPr>
          <w:rFonts w:hint="default" w:ascii="Times New Roman" w:hAnsi="Times New Roman" w:cs="Times New Roman" w:eastAsiaTheme="minorEastAsia"/>
          <w:color w:val="auto"/>
          <w:sz w:val="24"/>
          <w:szCs w:val="24"/>
          <w:highlight w:val="none"/>
          <w:shd w:val="clear" w:color="auto" w:fill="auto"/>
          <w:lang w:eastAsia="zh-CN"/>
        </w:rPr>
        <w:t>）参加政府采购活动前三年内，在经营活动中没有重大违法记录；</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注：提供承诺（格式自拟）。</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6</w:t>
      </w:r>
      <w:r>
        <w:rPr>
          <w:rFonts w:hint="default" w:ascii="Times New Roman" w:hAnsi="Times New Roman" w:cs="Times New Roman" w:eastAsiaTheme="minorEastAsia"/>
          <w:color w:val="auto"/>
          <w:sz w:val="24"/>
          <w:szCs w:val="24"/>
          <w:highlight w:val="none"/>
          <w:shd w:val="clear" w:color="auto" w:fill="auto"/>
          <w:lang w:eastAsia="zh-CN"/>
        </w:rPr>
        <w:t>）法律、行政法规规定的其他条件。</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注：提供承诺（格式自拟）。</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w:t>
      </w:r>
      <w:r>
        <w:rPr>
          <w:rFonts w:hint="default" w:ascii="Times New Roman" w:hAnsi="Times New Roman" w:cs="Times New Roman" w:eastAsiaTheme="minorEastAsia"/>
          <w:color w:val="auto"/>
          <w:sz w:val="24"/>
          <w:szCs w:val="24"/>
          <w:highlight w:val="none"/>
          <w:shd w:val="clear" w:color="auto" w:fill="auto"/>
          <w:lang w:eastAsia="zh-CN"/>
        </w:rPr>
        <w:t xml:space="preserve">4.2 </w:t>
      </w:r>
      <w:r>
        <w:rPr>
          <w:rFonts w:hint="default" w:ascii="Times New Roman" w:hAnsi="Times New Roman" w:cs="Times New Roman" w:eastAsiaTheme="minorEastAsia"/>
          <w:color w:val="auto"/>
          <w:sz w:val="24"/>
          <w:szCs w:val="24"/>
          <w:highlight w:val="none"/>
          <w:shd w:val="clear" w:color="auto" w:fill="auto"/>
          <w:lang w:val="en-US" w:eastAsia="zh-CN"/>
        </w:rPr>
        <w:t>联合体</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本项目不接受联合体参加比选活动。</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w:t>
      </w:r>
      <w:r>
        <w:rPr>
          <w:rFonts w:hint="default" w:ascii="Times New Roman" w:hAnsi="Times New Roman" w:cs="Times New Roman" w:eastAsiaTheme="minorEastAsia"/>
          <w:color w:val="auto"/>
          <w:sz w:val="24"/>
          <w:szCs w:val="24"/>
          <w:highlight w:val="none"/>
          <w:shd w:val="clear" w:color="auto" w:fill="auto"/>
          <w:lang w:eastAsia="zh-CN"/>
        </w:rPr>
        <w:t xml:space="preserve">4.3 </w:t>
      </w:r>
      <w:r>
        <w:rPr>
          <w:rFonts w:hint="default" w:ascii="Times New Roman" w:hAnsi="Times New Roman" w:cs="Times New Roman" w:eastAsiaTheme="minorEastAsia"/>
          <w:color w:val="auto"/>
          <w:sz w:val="24"/>
          <w:szCs w:val="24"/>
          <w:highlight w:val="none"/>
          <w:shd w:val="clear" w:color="auto" w:fill="auto"/>
          <w:lang w:val="en-US" w:eastAsia="zh-CN"/>
        </w:rPr>
        <w:t>不得存在的情形</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供应商不得存在下列情形之一：</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（1）与比选人存在利害关系可能影响比选公正性的法人、其他组织或者个人；</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2</w:t>
      </w:r>
      <w:r>
        <w:rPr>
          <w:rFonts w:hint="default" w:ascii="Times New Roman" w:hAnsi="Times New Roman" w:cs="Times New Roman" w:eastAsiaTheme="minorEastAsia"/>
          <w:color w:val="auto"/>
          <w:sz w:val="24"/>
          <w:szCs w:val="24"/>
          <w:highlight w:val="none"/>
          <w:shd w:val="clear" w:color="auto" w:fill="auto"/>
          <w:lang w:eastAsia="zh-CN"/>
        </w:rPr>
        <w:t>）为本项目提供代理服务的；</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3</w:t>
      </w:r>
      <w:r>
        <w:rPr>
          <w:rFonts w:hint="default" w:ascii="Times New Roman" w:hAnsi="Times New Roman" w:cs="Times New Roman" w:eastAsiaTheme="minorEastAsia"/>
          <w:color w:val="auto"/>
          <w:sz w:val="24"/>
          <w:szCs w:val="24"/>
          <w:highlight w:val="none"/>
          <w:shd w:val="clear" w:color="auto" w:fill="auto"/>
          <w:lang w:eastAsia="zh-CN"/>
        </w:rPr>
        <w:t>）与本项目的代理机构同为一个法定代表人的；</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（7）与本项目的代理机构相互控股或参股的；</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（8）与本项目的代理机构相互任职或工作的；</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（9）被责令停业的；</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（10）被暂停或取消竞选资格的；</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（11）财产被接管或冻结的；</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eastAsia="zh-CN"/>
        </w:rPr>
        <w:t>（12）单位负责人为同一人或者存在控股、管理关系的不同单位，不得在同一标段中同时竞选</w:t>
      </w:r>
      <w:r>
        <w:rPr>
          <w:rFonts w:hint="default" w:ascii="Times New Roman" w:hAnsi="Times New Roman" w:cs="Times New Roman" w:eastAsiaTheme="minorEastAsia"/>
          <w:color w:val="auto"/>
          <w:sz w:val="24"/>
          <w:szCs w:val="24"/>
          <w:highlight w:val="none"/>
          <w:shd w:val="clear" w:color="auto" w:fill="auto"/>
          <w:lang w:val="en-US" w:eastAsia="zh-CN"/>
        </w:rPr>
        <w:t>；</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eastAsia="zh-CN"/>
        </w:rPr>
      </w:pPr>
      <w:r>
        <w:rPr>
          <w:rFonts w:hint="default" w:ascii="Times New Roman" w:hAnsi="Times New Roman" w:cs="Times New Roman" w:eastAsiaTheme="minorEastAsia"/>
          <w:color w:val="auto"/>
          <w:sz w:val="24"/>
          <w:szCs w:val="24"/>
          <w:highlight w:val="none"/>
          <w:shd w:val="clear" w:color="auto" w:fill="auto"/>
          <w:lang w:eastAsia="zh-CN"/>
        </w:rPr>
        <w:t>（</w:t>
      </w:r>
      <w:r>
        <w:rPr>
          <w:rFonts w:hint="default" w:ascii="Times New Roman" w:hAnsi="Times New Roman" w:cs="Times New Roman" w:eastAsiaTheme="minorEastAsia"/>
          <w:color w:val="auto"/>
          <w:sz w:val="24"/>
          <w:szCs w:val="24"/>
          <w:highlight w:val="none"/>
          <w:shd w:val="clear" w:color="auto" w:fill="auto"/>
          <w:lang w:val="en-US" w:eastAsia="zh-CN"/>
        </w:rPr>
        <w:t>13</w:t>
      </w:r>
      <w:r>
        <w:rPr>
          <w:rFonts w:hint="default" w:ascii="Times New Roman" w:hAnsi="Times New Roman" w:cs="Times New Roman" w:eastAsiaTheme="minorEastAsia"/>
          <w:color w:val="auto"/>
          <w:sz w:val="24"/>
          <w:szCs w:val="24"/>
          <w:highlight w:val="none"/>
          <w:shd w:val="clear" w:color="auto" w:fill="auto"/>
          <w:lang w:eastAsia="zh-CN"/>
        </w:rPr>
        <w:t>）法律法规规定的其他情况。</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注：提供承诺（格式自拟）。</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1.4.4 材料真实性</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供应商应对上述资料真实性负责，如提供虚假材料，比选人一经查实，将取消中选资格。</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注：提供承诺（格式自拟）。</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1.5 费用承担</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 xml:space="preserve"> 供应商准备和参加比选活动发生的费用自理。</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1.6 保密</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参与比选活动的各方应对比选文件和响应文件中的商业和技术等秘密保密，违者应对由此造成的后果承担法律责任。</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1.7 语言文字</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除专用术语外，与比选有关的语言均使用中文。必要时专用术语应附有中文注释。</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1.8 计量单位及币种</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本项目所有计量均采用中华人民共和国法定计量单位。</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本项目一律采用人民币进行报价。</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1.9 踏勘现场</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本项目不组织集中踏勘，供应商可提前联系自行前往项目地点踏勘，供应商踏勘现场发生的费用自理，因踏勘产生的人员伤亡、财产损失由供应商自行承担。</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1.10 分包</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本项目不允许分包。</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1.11 偏离</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本项目可以正偏离，不允许负偏离。</w:t>
      </w:r>
    </w:p>
    <w:p>
      <w:pPr>
        <w:keepNext w:val="0"/>
        <w:keepLines w:val="0"/>
        <w:pageBreakBefore w:val="0"/>
        <w:widowControl w:val="0"/>
        <w:numPr>
          <w:ilvl w:val="1"/>
          <w:numId w:val="0"/>
        </w:numPr>
        <w:kinsoku/>
        <w:wordWrap w:val="0"/>
        <w:overflowPunct/>
        <w:topLinePunct w:val="0"/>
        <w:autoSpaceDE w:val="0"/>
        <w:autoSpaceDN w:val="0"/>
        <w:bidi w:val="0"/>
        <w:adjustRightInd w:val="0"/>
        <w:snapToGrid w:val="0"/>
        <w:spacing w:before="0" w:after="0" w:line="400" w:lineRule="exact"/>
        <w:jc w:val="left"/>
        <w:outlineLvl w:val="1"/>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pPr>
      <w:bookmarkStart w:id="23" w:name="_Toc4907"/>
      <w:r>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t>二、竞争性比选文件</w:t>
      </w:r>
      <w:bookmarkEnd w:id="23"/>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2.1 竞争性比选文件的组成</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本竞争性比选文件包括：</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（1）比选公告；</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（2）供应商须知；</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（3）评审办法；</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（4）合同条款及格式；</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（5）技术要求；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（6）响应文件格式；</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（7）供应商须知前附表规定的其他材料。</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对比选文件所作的澄清、修改，构成比选文件的组成部分。</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2.2 竞争性比选文件的澄清</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供应商应仔细阅读比选文件及附件的所有内容，如有文字表述不清以及存在错、漏、缺、概念模糊和有可能出现歧义或理解上的偏差的内容等，应在2025年12月</w:t>
      </w:r>
      <w:r>
        <w:rPr>
          <w:rFonts w:hint="eastAsia" w:ascii="Times New Roman" w:hAnsi="Times New Roman" w:cs="Times New Roman" w:eastAsiaTheme="minorEastAsia"/>
          <w:color w:val="auto"/>
          <w:sz w:val="24"/>
          <w:szCs w:val="24"/>
          <w:highlight w:val="none"/>
          <w:shd w:val="clear" w:color="auto" w:fill="auto"/>
          <w:lang w:val="en-US" w:eastAsia="zh-CN"/>
        </w:rPr>
        <w:t>9</w:t>
      </w:r>
      <w:r>
        <w:rPr>
          <w:rFonts w:hint="default" w:ascii="Times New Roman" w:hAnsi="Times New Roman" w:cs="Times New Roman" w:eastAsiaTheme="minorEastAsia"/>
          <w:color w:val="auto"/>
          <w:sz w:val="24"/>
          <w:szCs w:val="24"/>
          <w:highlight w:val="none"/>
          <w:shd w:val="clear" w:color="auto" w:fill="auto"/>
          <w:lang w:val="en-US" w:eastAsia="zh-CN"/>
        </w:rPr>
        <w:t>日17时00分（北京时间）前将提问以书面形式递交到代理机构。</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比选人在2025年12月</w:t>
      </w:r>
      <w:r>
        <w:rPr>
          <w:rFonts w:hint="eastAsia" w:ascii="Times New Roman" w:hAnsi="Times New Roman" w:cs="Times New Roman" w:eastAsiaTheme="minorEastAsia"/>
          <w:color w:val="auto"/>
          <w:sz w:val="24"/>
          <w:szCs w:val="24"/>
          <w:highlight w:val="none"/>
          <w:shd w:val="clear" w:color="auto" w:fill="auto"/>
          <w:lang w:val="en-US" w:eastAsia="zh-CN"/>
        </w:rPr>
        <w:t>10</w:t>
      </w:r>
      <w:r>
        <w:rPr>
          <w:rFonts w:hint="default" w:ascii="Times New Roman" w:hAnsi="Times New Roman" w:cs="Times New Roman" w:eastAsiaTheme="minorEastAsia"/>
          <w:color w:val="auto"/>
          <w:sz w:val="24"/>
          <w:szCs w:val="24"/>
          <w:highlight w:val="none"/>
          <w:shd w:val="clear" w:color="auto" w:fill="auto"/>
          <w:lang w:val="en-US" w:eastAsia="zh-CN"/>
        </w:rPr>
        <w:t>日12时00分（北京时间）前将答疑、补遗、澄清文件在重梁平信息网上发布，不管潜在供应商查阅与否均视为知晓相关内容或事宜。</w:t>
      </w:r>
    </w:p>
    <w:p>
      <w:pPr>
        <w:keepNext w:val="0"/>
        <w:keepLines w:val="0"/>
        <w:pageBreakBefore w:val="0"/>
        <w:widowControl w:val="0"/>
        <w:numPr>
          <w:ilvl w:val="1"/>
          <w:numId w:val="0"/>
        </w:numPr>
        <w:kinsoku/>
        <w:wordWrap w:val="0"/>
        <w:overflowPunct/>
        <w:topLinePunct w:val="0"/>
        <w:autoSpaceDE w:val="0"/>
        <w:autoSpaceDN w:val="0"/>
        <w:bidi w:val="0"/>
        <w:adjustRightInd w:val="0"/>
        <w:snapToGrid w:val="0"/>
        <w:spacing w:before="0" w:after="0" w:line="400" w:lineRule="exact"/>
        <w:jc w:val="left"/>
        <w:outlineLvl w:val="1"/>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pPr>
      <w:bookmarkStart w:id="24" w:name="_Toc6524"/>
      <w:r>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t>三、响应文件</w:t>
      </w:r>
      <w:bookmarkEnd w:id="24"/>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3.1 响应文件的组成</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响应文件应包括下列内容：报价函部分、资格审查部分、其他资料。</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3.2 响应报价</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供应商的响应报价应是完成本项目所需要的所有费用，供应商应参照市场行情并结合自身实力进行自主报价，因供应商自身原因造成漏报、少报皆由其自行承担责任，比选人不再补偿。</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本项目最高限价为：144094.94元（大写：壹拾肆万肆仟零玖拾肆元玖角肆分），供应商的响应报价不得高于最高限价。</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供应商只能有一个有效报价，不得提交选择性报价。必须按照明细报价表认真填写各项明细，供应商报价不得超过最高限价、分项限价。</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3.3 响应文件有效期</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响应文件有效期为自响应文件递交截止时间起90日历天，在响应文件有效期内，供应商不得要求撤销或修改其响应文件。</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出现特殊情况需要延长响应文件有效期的，比选人以书面形式通知所有供应商延长响应文件有效期。供应商同意延长的，不得要求或被允许修改或撤销其响应文件；供应商拒绝延长的，其响应文件失效。</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3.4 备选竞选方案</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 xml:space="preserve"> 供应商不得递交备选方案。</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3.5 响应文件的编制</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（1）响应文件应按第六章“响应文件格式”进行编写，如有必要，可以增加附页，作为响应文件的组成部分。可以提出比竞争性比选文件要求更有利于比选人的承诺。</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（2）响应文件应当对比选文件有关供货期、响应文件有效期、质量要求、技术标准和要求、比选范围等实质性内容做出响应。</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3）响应文件应用不褪色的材料书写或打印，并由供应商的法定代表人或其委托代理人签名、盖单位法人章。委托代理人签名的，响应文件应附法定代表人签署的授权委托书。响应文件应尽量避免涂改、行间插字或删除。如果出现上述情况，改动之处应加盖单位公章或由 供应商的法定代表人或其授权的代理人签名确认。</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（4）响应文件正本一份，副本份数二份。正本和副本的封面上应清楚地标记“正本”或“副本”的字样，正副本封面均须加盖单位公章（鲜章）。当副本和正本不一致时，以正本为准。</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（5）响应文件的正本与副本应分别装订成册，并编制目录。</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3.6 响应文件的密封和标记</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响应文件的正本与副本装入响应文件袋中，密封完好并在封口处加盖供应商单位法人章。</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响应文件袋封套上应写明比选人名称、项目名称、文件名称、供应商名称、比选开始时间。</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未按上述要求要求密封和标记的响应文件，比选人不予受理。</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3.7 响应文件的递交</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供应商应在规定的递交响应文件截止时间前递交响应文件。除供应商须知前附表另有规定外，供应商所递交的响应文件不予退还。</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3.8 响应文件的修改与撤回</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在规定的递交响应文件截止时间前，供应商可以修改或撤回已递交的响应文件，但应以书面形式通知比选人。供应商修改或撤回已递交响应文件的书面通知应按照要求签名或盖章。比选人收到书面通知后，向供应商出具签收凭证。修改的内容为响应文件的组成部分。修改的响应文件应按照比选文件规定进行编制、密封、标记和递交，并标明“修改”字样。</w:t>
      </w:r>
    </w:p>
    <w:p>
      <w:pPr>
        <w:keepNext w:val="0"/>
        <w:keepLines w:val="0"/>
        <w:pageBreakBefore w:val="0"/>
        <w:widowControl w:val="0"/>
        <w:numPr>
          <w:ilvl w:val="1"/>
          <w:numId w:val="0"/>
        </w:numPr>
        <w:kinsoku/>
        <w:wordWrap w:val="0"/>
        <w:overflowPunct/>
        <w:topLinePunct w:val="0"/>
        <w:autoSpaceDE w:val="0"/>
        <w:autoSpaceDN w:val="0"/>
        <w:bidi w:val="0"/>
        <w:adjustRightInd w:val="0"/>
        <w:snapToGrid w:val="0"/>
        <w:spacing w:before="0" w:after="0" w:line="400" w:lineRule="exact"/>
        <w:jc w:val="left"/>
        <w:outlineLvl w:val="1"/>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pPr>
      <w:bookmarkStart w:id="25" w:name="_Toc32126"/>
      <w:r>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t>四、比选程序</w:t>
      </w:r>
      <w:bookmarkEnd w:id="25"/>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主持人按下列程序进行比选：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比选开始，核验所有成功递交的有效响应文件，供应商代表对所有递交的响应文件封装情况进行检查，若未封装完好的响应文件将不被开启。展示供应商数量是否大于（等于）3家，经确认满足比选条件的，进入比选环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2.核验参加比选会议的供应商的法定代表人或委托代理人本人身份证（原件），核验委托代理人的授权委托书、养老保险证明材料复印件，以确认其身份合法有效。若经核实提供资料与实际不符的，不得参加比选会议，响应文件不被开启，核验合格的法定代表人或委托代理人可自行选择是否参加比选会议，不参加比选会议的视为默认比选结果。</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3.宣布主持人、记录人、监标人等有关人员姓名。</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4.公布在投标截止时间前递交有效响应文件的供应商名称。</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5.公布最高限价。</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6.逐单位随机开启响应文件。开启响应文件袋，公布供应商名称、响应报价等内容并记录在案。</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8.供应商对比选过程有异议的，应当场提出，由比选人或代理机构当场答复，并记录到比选记录表中。异议处理完毕后，汇总情况，打印比选记录表。</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9.供应商代表、比选人代表、监标人、主持人、记录人等有关人员在比选记录上签名确认。因其他原因未能签名的，视为默认比选结果。</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10.比选结束。</w:t>
      </w:r>
    </w:p>
    <w:p>
      <w:pPr>
        <w:keepNext w:val="0"/>
        <w:keepLines w:val="0"/>
        <w:pageBreakBefore w:val="0"/>
        <w:widowControl w:val="0"/>
        <w:numPr>
          <w:ilvl w:val="1"/>
          <w:numId w:val="0"/>
        </w:numPr>
        <w:kinsoku/>
        <w:wordWrap w:val="0"/>
        <w:overflowPunct/>
        <w:topLinePunct w:val="0"/>
        <w:autoSpaceDE w:val="0"/>
        <w:autoSpaceDN w:val="0"/>
        <w:bidi w:val="0"/>
        <w:adjustRightInd w:val="0"/>
        <w:snapToGrid w:val="0"/>
        <w:spacing w:before="0" w:after="0" w:line="400" w:lineRule="exact"/>
        <w:jc w:val="left"/>
        <w:outlineLvl w:val="1"/>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pPr>
      <w:bookmarkStart w:id="26" w:name="_Toc18243"/>
      <w:r>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t>五、评审</w:t>
      </w:r>
      <w:bookmarkEnd w:id="26"/>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5.1 评审委员会</w:t>
      </w:r>
    </w:p>
    <w:p>
      <w:pPr>
        <w:pStyle w:val="13"/>
        <w:numPr>
          <w:ilvl w:val="0"/>
          <w:numId w:val="0"/>
        </w:numPr>
        <w:ind w:left="0" w:firstLine="480" w:firstLineChars="200"/>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评审委员会由比选人依法组建，选择有足够经验的专职技术人员担任，配备满足工作需要的项目评审成员，成员人数为3人及以上单数，其中从重庆市综合评审专家库随机抽取的技术、经济类专家人数不得少于评审委员会总人数的三分之二。</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5.2 评审原则</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 xml:space="preserve">  评审活动遵循公平、公正、科学和择优的原则。</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5.3 评审</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评审委员会按照第三章“评审办法”规定的方法、评审因素、标准和程序对响应文件进行评审。</w:t>
      </w:r>
    </w:p>
    <w:p>
      <w:pPr>
        <w:keepNext w:val="0"/>
        <w:keepLines w:val="0"/>
        <w:pageBreakBefore w:val="0"/>
        <w:widowControl w:val="0"/>
        <w:numPr>
          <w:ilvl w:val="1"/>
          <w:numId w:val="0"/>
        </w:numPr>
        <w:kinsoku/>
        <w:wordWrap w:val="0"/>
        <w:overflowPunct/>
        <w:topLinePunct w:val="0"/>
        <w:autoSpaceDE w:val="0"/>
        <w:autoSpaceDN w:val="0"/>
        <w:bidi w:val="0"/>
        <w:adjustRightInd w:val="0"/>
        <w:snapToGrid w:val="0"/>
        <w:spacing w:before="0" w:after="0" w:line="400" w:lineRule="exact"/>
        <w:jc w:val="left"/>
        <w:outlineLvl w:val="1"/>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pPr>
      <w:bookmarkStart w:id="27" w:name="_Toc14467"/>
      <w:r>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t>六、合同授予</w:t>
      </w:r>
      <w:bookmarkEnd w:id="27"/>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6.1 定标方式</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比选人应当确定排名第一的中选候选人为中选供应商。排名第一的中选候选人放弃成交、因不可抗力不能履行合同，或者被查实存在影响中选候选人结果的违法行为等情形，不符合成交条件的，比选人可以按照评审委员会提出的中选候选人名单排序依次确定其他中选候选人为中选供应商，也可以重新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评审委员会推荐中选候选人的人数见 供应商须知前附表。</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6.2 中选通知</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比选人在收到评标报告后3日内将评标结果在</w:t>
      </w:r>
      <w:r>
        <w:rPr>
          <w:rFonts w:hint="eastAsia" w:ascii="Times New Roman" w:hAnsi="Times New Roman" w:cs="Times New Roman" w:eastAsiaTheme="minorEastAsia"/>
          <w:color w:val="auto"/>
          <w:sz w:val="24"/>
          <w:szCs w:val="24"/>
          <w:highlight w:val="none"/>
          <w:shd w:val="clear" w:color="auto" w:fill="auto"/>
          <w:lang w:val="en-US" w:eastAsia="zh-CN"/>
        </w:rPr>
        <w:t>梁平信息网</w:t>
      </w:r>
      <w:r>
        <w:rPr>
          <w:rFonts w:hint="default" w:ascii="Times New Roman" w:hAnsi="Times New Roman" w:cs="Times New Roman" w:eastAsiaTheme="minorEastAsia"/>
          <w:color w:val="auto"/>
          <w:sz w:val="24"/>
          <w:szCs w:val="24"/>
          <w:highlight w:val="none"/>
          <w:shd w:val="clear" w:color="auto" w:fill="auto"/>
          <w:lang w:val="en-US" w:eastAsia="zh-CN"/>
        </w:rPr>
        <w:t>上进行公示，公示期不少于3日</w:t>
      </w:r>
      <w:r>
        <w:rPr>
          <w:rFonts w:hint="eastAsia" w:ascii="Times New Roman" w:hAnsi="Times New Roman" w:cs="Times New Roman" w:eastAsiaTheme="minorEastAsia"/>
          <w:color w:val="auto"/>
          <w:sz w:val="24"/>
          <w:szCs w:val="24"/>
          <w:highlight w:val="none"/>
          <w:shd w:val="clear" w:color="auto" w:fill="auto"/>
          <w:lang w:val="en-US" w:eastAsia="zh-CN"/>
        </w:rPr>
        <w:t>，</w:t>
      </w:r>
      <w:bookmarkStart w:id="116" w:name="_GoBack"/>
      <w:bookmarkEnd w:id="116"/>
      <w:r>
        <w:rPr>
          <w:rFonts w:hint="default" w:ascii="Times New Roman" w:hAnsi="Times New Roman" w:cs="Times New Roman" w:eastAsiaTheme="minorEastAsia"/>
          <w:color w:val="auto"/>
          <w:sz w:val="24"/>
          <w:szCs w:val="24"/>
          <w:highlight w:val="none"/>
          <w:shd w:val="clear" w:color="auto" w:fill="auto"/>
          <w:lang w:val="en-US" w:eastAsia="zh-CN"/>
        </w:rPr>
        <w:t>且未有中选供应商的异议与投诉，比选人以书面形式向中选供应商发出中选通知书。</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6.3 履约担保</w:t>
      </w:r>
    </w:p>
    <w:p>
      <w:pPr>
        <w:spacing w:line="400" w:lineRule="exact"/>
        <w:ind w:firstLine="480" w:firstLineChars="200"/>
        <w:rPr>
          <w:rFonts w:hint="eastAsia"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cs="Times New Roman" w:eastAsiaTheme="minorEastAsia"/>
          <w:color w:val="auto"/>
          <w:sz w:val="24"/>
          <w:szCs w:val="24"/>
          <w:highlight w:val="none"/>
          <w:shd w:val="clear" w:color="auto" w:fill="auto"/>
          <w:lang w:val="en-US" w:eastAsia="zh-CN"/>
        </w:rPr>
        <w:t>1.中选人是否提供履约担保：提供。</w:t>
      </w:r>
    </w:p>
    <w:p>
      <w:pPr>
        <w:spacing w:line="400" w:lineRule="exact"/>
        <w:ind w:firstLine="480" w:firstLineChars="200"/>
        <w:rPr>
          <w:rFonts w:hint="eastAsia"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cs="Times New Roman" w:eastAsiaTheme="minorEastAsia"/>
          <w:color w:val="auto"/>
          <w:sz w:val="24"/>
          <w:szCs w:val="24"/>
          <w:highlight w:val="none"/>
          <w:shd w:val="clear" w:color="auto" w:fill="auto"/>
          <w:lang w:val="en-US" w:eastAsia="zh-CN"/>
        </w:rPr>
        <w:t>2.中选人提供履约担保的形式、金额及期限：</w:t>
      </w:r>
    </w:p>
    <w:p>
      <w:pPr>
        <w:spacing w:line="400" w:lineRule="exact"/>
        <w:ind w:firstLine="480" w:firstLineChars="200"/>
        <w:rPr>
          <w:rFonts w:hint="eastAsia"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cs="Times New Roman" w:eastAsiaTheme="minorEastAsia"/>
          <w:color w:val="auto"/>
          <w:sz w:val="24"/>
          <w:szCs w:val="24"/>
          <w:highlight w:val="none"/>
          <w:shd w:val="clear" w:color="auto" w:fill="auto"/>
          <w:lang w:val="en-US" w:eastAsia="zh-CN"/>
        </w:rPr>
        <w:t>（1）履约担保的形式：以支票、汇票、本票或者金融机构、担保机构出具的保函等形式提交。</w:t>
      </w:r>
    </w:p>
    <w:p>
      <w:pPr>
        <w:spacing w:line="400" w:lineRule="exact"/>
        <w:ind w:firstLine="480" w:firstLineChars="200"/>
        <w:rPr>
          <w:rFonts w:hint="eastAsia"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cs="Times New Roman" w:eastAsiaTheme="minorEastAsia"/>
          <w:color w:val="auto"/>
          <w:sz w:val="24"/>
          <w:szCs w:val="24"/>
          <w:highlight w:val="none"/>
          <w:shd w:val="clear" w:color="auto" w:fill="auto"/>
          <w:lang w:val="en-US" w:eastAsia="zh-CN"/>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竞争性比选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pPr>
        <w:spacing w:line="400" w:lineRule="exact"/>
        <w:ind w:firstLine="480" w:firstLineChars="200"/>
        <w:rPr>
          <w:rFonts w:hint="eastAsia"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cs="Times New Roman" w:eastAsiaTheme="minorEastAsia"/>
          <w:color w:val="auto"/>
          <w:sz w:val="24"/>
          <w:szCs w:val="24"/>
          <w:highlight w:val="none"/>
          <w:shd w:val="clear" w:color="auto" w:fill="auto"/>
          <w:lang w:val="en-US" w:eastAsia="zh-CN"/>
        </w:rPr>
        <w:t>（3）履约担保的金额：中选合同金额的5% 。</w:t>
      </w:r>
    </w:p>
    <w:p>
      <w:pPr>
        <w:spacing w:line="400" w:lineRule="exact"/>
        <w:ind w:firstLine="480" w:firstLineChars="200"/>
        <w:rPr>
          <w:rFonts w:hint="eastAsia"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cs="Times New Roman" w:eastAsiaTheme="minorEastAsia"/>
          <w:color w:val="auto"/>
          <w:sz w:val="24"/>
          <w:szCs w:val="24"/>
          <w:highlight w:val="none"/>
          <w:shd w:val="clear" w:color="auto" w:fill="auto"/>
          <w:lang w:val="en-US" w:eastAsia="zh-CN"/>
        </w:rPr>
        <w:t>（4）履约担保的提交时间：履约担保须在成交通知书发出后至合同签订前缴纳，否则视为自动放弃中选资格，其投标保证金按相关规定处理，比选人同时报行业监督部门依法给予行政处罚并纳入“信用中国”、“信用重庆”等不良记录里。</w:t>
      </w:r>
    </w:p>
    <w:p>
      <w:pPr>
        <w:spacing w:line="400" w:lineRule="exact"/>
        <w:ind w:firstLine="480" w:firstLineChars="200"/>
        <w:rPr>
          <w:rFonts w:hint="eastAsia"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cs="Times New Roman" w:eastAsiaTheme="minorEastAsia"/>
          <w:color w:val="auto"/>
          <w:sz w:val="24"/>
          <w:szCs w:val="24"/>
          <w:highlight w:val="none"/>
          <w:shd w:val="clear" w:color="auto" w:fill="auto"/>
          <w:lang w:val="en-US" w:eastAsia="zh-CN"/>
        </w:rPr>
        <w:t>（5）履约担保的期限：自提交履约担保之日起至合同设备安装验收合格之日止。</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cs="Times New Roman" w:eastAsiaTheme="minorEastAsia"/>
          <w:color w:val="auto"/>
          <w:sz w:val="24"/>
          <w:szCs w:val="24"/>
          <w:highlight w:val="none"/>
          <w:shd w:val="clear" w:color="auto" w:fill="auto"/>
          <w:lang w:val="en-US" w:eastAsia="zh-CN"/>
        </w:rPr>
        <w:t>（6）履约担保的退还时间：设备安装验收合格后28日内按相关规定一次性无息退还。履约过程中，中选人不能履约或不能完全履约，履约保证金不予退还。</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6.4 签订合同</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比选人和中选供应商应当自中选通知书发出之日起10天内，根据竞争性比选文件和中选供应商的响应文件订立书面合同。中选供应商无正当理由拒签合同的，比选人取消其中选资格；给比选人造成的损失，中选供应商还应当对超过部分予以赔偿。</w:t>
      </w:r>
    </w:p>
    <w:p>
      <w:pPr>
        <w:keepNext w:val="0"/>
        <w:keepLines w:val="0"/>
        <w:pageBreakBefore w:val="0"/>
        <w:widowControl w:val="0"/>
        <w:numPr>
          <w:ilvl w:val="1"/>
          <w:numId w:val="0"/>
        </w:numPr>
        <w:kinsoku/>
        <w:wordWrap w:val="0"/>
        <w:overflowPunct/>
        <w:topLinePunct w:val="0"/>
        <w:autoSpaceDE w:val="0"/>
        <w:autoSpaceDN w:val="0"/>
        <w:bidi w:val="0"/>
        <w:adjustRightInd w:val="0"/>
        <w:snapToGrid w:val="0"/>
        <w:spacing w:before="0" w:after="0" w:line="400" w:lineRule="exact"/>
        <w:jc w:val="left"/>
        <w:outlineLvl w:val="1"/>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pPr>
      <w:bookmarkStart w:id="28" w:name="_Toc10569"/>
      <w:r>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t>七、纪律和监督</w:t>
      </w:r>
      <w:bookmarkEnd w:id="28"/>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7.1 对比选人的纪律要求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比选人不得泄漏比选活动中应当保密的情况和资料，不得与供应商串通损害国家利益、社会公共利益或者他人合法权益，禁止比选人与 供应商串通比选。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有下列情形之一的，属于比选人与供应商串通比选：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（1）比选人在开启响应文件前开启响应文件并将有关信息泄露给其他供应商;</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（2）比选人直接或者间接向供应商泄露标底、评审委员会成员等信息；</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（3）比选人明示或者暗示供应商压低或者抬高响应报价；</w:t>
      </w:r>
    </w:p>
    <w:p>
      <w:pPr>
        <w:spacing w:line="400" w:lineRule="exact"/>
        <w:ind w:firstLine="480" w:firstLineChars="200"/>
        <w:rPr>
          <w:rFonts w:hint="default" w:ascii="Times New Roman" w:hAnsi="Times New Roman" w:eastAsia="仿宋" w:cs="Times New Roman"/>
          <w:snapToGrid w:val="0"/>
          <w:color w:val="auto"/>
          <w:kern w:val="0"/>
          <w:sz w:val="24"/>
          <w:szCs w:val="24"/>
          <w:highlight w:val="none"/>
        </w:rPr>
      </w:pPr>
      <w:r>
        <w:rPr>
          <w:rFonts w:hint="default" w:ascii="Times New Roman" w:hAnsi="Times New Roman" w:cs="Times New Roman" w:eastAsiaTheme="minorEastAsia"/>
          <w:color w:val="auto"/>
          <w:sz w:val="24"/>
          <w:szCs w:val="24"/>
          <w:highlight w:val="none"/>
          <w:shd w:val="clear" w:color="auto" w:fill="auto"/>
          <w:lang w:val="en-US" w:eastAsia="zh-CN"/>
        </w:rPr>
        <w:t>（4）比选人授意供应商撤换、修改响应文件。 </w:t>
      </w:r>
      <w:r>
        <w:rPr>
          <w:rFonts w:hint="default" w:ascii="Times New Roman" w:hAnsi="Times New Roman" w:eastAsia="仿宋" w:cs="Times New Roman"/>
          <w:snapToGrid w:val="0"/>
          <w:color w:val="auto"/>
          <w:kern w:val="0"/>
          <w:sz w:val="24"/>
          <w:szCs w:val="24"/>
          <w:highlight w:val="none"/>
        </w:rPr>
        <w:t>  </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7.2 对供应商的纪律要求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 xml:space="preserve"> 供应商不得相互串通比选或者与比选人串通比选，不得向比选人或者评审委员会成员行贿谋取中选，不得以他人名义比选或者以其他方式弄虚作假骗取中选；供应商不得以任何方式干扰、影响评审工作。</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有下列情形之一的，属于 供应商相互串通比选：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（1）供应商之间协商响应报价等响应文件的实质性内容；</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（2）供应商之间约定中选供应商；</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（3）供应商之间约定部分供应商放弃比选或者中选；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（4）属于同一集团、协会、商会等组织成员的供应商按照该组织要求协同比选；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（5）供应商之间为谋取中选或者排斥特定供应商而采取的其他联合行动。</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有下列情形之一的，视为供应商相互串通比选：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（1）不同供应商的响应文件由同一单位或者个人编制；</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（2）不同供应商委托同一单位或者个人办理比选事宜；</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（3）不同供应商的响应文件载明的项目管理成员为同一人；</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（4）不同供应商的响应文件异常一致或者比选报价呈规律性差异；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（5）不同供应商的响应文件相互混装；</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使用通过受让或者租借等方式获取的资格、资质证书比选的，属于以他人名义比选。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 xml:space="preserve"> 供应商有下列情形之一的，属于以其他方式弄虚作假的行为：</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（一）使用伪造、变造的许可证件；</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（二）提供虚假的财务状况或者业绩；</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（三）提供虚假的项目负责人或者主要技术人员简历、劳动关系证明；</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（四）提供虚假的信用状况；</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（五）其他弄虚作假的行为。</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7.3 对评审委员会成员的纪律要求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评审委员会成员不得收受他人的财物或者其他好处，不得向他人透漏对响应文件的评审和比较、中选候选人的推荐情况以及评审有关的其他情况。在评审活动中，评审委员会成员不得擅离职守，影响评审程序正常进行，不得使用第三章“评审办法”没有规定的评审因素和标准进行评审。</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7.4 对与评审活动有关的工作人员的纪律要求</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与评审活动有关的工作人员不得收受他人的财物或者其他好处，不得向他人透漏对响应文件的评审和比较、中选候选人的推荐情况以及评审有关的其他情况。在评审活动中，与评审活动有关的工作人员不得擅离职守，影响评审程序正常进行。</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7.5 投诉</w:t>
      </w:r>
    </w:p>
    <w:p>
      <w:pPr>
        <w:spacing w:line="400" w:lineRule="exact"/>
        <w:ind w:firstLine="480" w:firstLineChars="200"/>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 xml:space="preserve"> 供应商和其他利害关系人认为本次比选活动违反法律、法规和规章规定的，有权向有关行政监督部门投诉。</w:t>
      </w:r>
    </w:p>
    <w:p>
      <w:pPr>
        <w:keepNext w:val="0"/>
        <w:keepLines w:val="0"/>
        <w:pageBreakBefore w:val="0"/>
        <w:widowControl w:val="0"/>
        <w:numPr>
          <w:ilvl w:val="1"/>
          <w:numId w:val="0"/>
        </w:numPr>
        <w:kinsoku/>
        <w:wordWrap w:val="0"/>
        <w:overflowPunct/>
        <w:topLinePunct w:val="0"/>
        <w:autoSpaceDE w:val="0"/>
        <w:autoSpaceDN w:val="0"/>
        <w:bidi w:val="0"/>
        <w:adjustRightInd w:val="0"/>
        <w:snapToGrid w:val="0"/>
        <w:spacing w:before="0" w:after="0" w:line="400" w:lineRule="exact"/>
        <w:jc w:val="left"/>
        <w:outlineLvl w:val="1"/>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pPr>
      <w:bookmarkStart w:id="29" w:name="_Toc14552"/>
      <w:r>
        <w:rPr>
          <w:rFonts w:hint="default" w:ascii="Times New Roman" w:hAnsi="Times New Roman" w:eastAsia="方正黑体_GBK" w:cs="Times New Roman"/>
          <w:b w:val="0"/>
          <w:bCs/>
          <w:snapToGrid w:val="0"/>
          <w:color w:val="auto"/>
          <w:spacing w:val="1"/>
          <w:w w:val="99"/>
          <w:kern w:val="2"/>
          <w:sz w:val="28"/>
          <w:szCs w:val="28"/>
          <w:highlight w:val="none"/>
          <w:lang w:val="en-US" w:eastAsia="zh-CN" w:bidi="ar-SA"/>
        </w:rPr>
        <w:t>八、其他内容</w:t>
      </w:r>
      <w:bookmarkEnd w:id="29"/>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8.1 代理服务费</w:t>
      </w:r>
    </w:p>
    <w:p>
      <w:pPr>
        <w:pStyle w:val="13"/>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400" w:lineRule="exact"/>
        <w:ind w:firstLine="480" w:firstLineChars="20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本项目代理服务费（含税费）3000.00元，由中选供应商在领取中选通知书后3个工作日内一次性向代理机构缴纳。逾期未缴纳的，视为自动放弃中选资格，比选人有权没收其响应文件（若有）并重新比选。</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8.2 结算方式</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合同签订后，设备安装调试完毕经比选人验收合格后30日内支付至合同结算金额的97%，余3%待质保期满后，中选供应商向比选人提交付款申请后15日内一次性付清。</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注：中选供应商须向比选人提供等额增值税发票。</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r>
        <w:rPr>
          <w:rFonts w:hint="default" w:ascii="Times New Roman" w:hAnsi="Times New Roman" w:eastAsia="方正楷体_GBK" w:cs="Times New Roman"/>
          <w:b/>
          <w:bCs w:val="0"/>
          <w:snapToGrid w:val="0"/>
          <w:color w:val="auto"/>
          <w:kern w:val="2"/>
          <w:sz w:val="24"/>
          <w:szCs w:val="24"/>
          <w:highlight w:val="none"/>
          <w:lang w:val="en-US" w:eastAsia="zh-CN" w:bidi="ar-SA"/>
        </w:rPr>
        <w:t>8.3 其他</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其他未尽事宜由比选人与中选供应商在合同中另行约定。</w:t>
      </w:r>
    </w:p>
    <w:p>
      <w:pPr>
        <w:pStyle w:val="3"/>
        <w:numPr>
          <w:ilvl w:val="0"/>
          <w:numId w:val="0"/>
        </w:numPr>
        <w:tabs>
          <w:tab w:val="left" w:pos="3360"/>
        </w:tabs>
        <w:spacing w:before="0" w:beforeLines="0" w:after="0" w:afterLines="0" w:line="360" w:lineRule="auto"/>
        <w:ind w:leftChars="0"/>
        <w:jc w:val="center"/>
        <w:rPr>
          <w:rFonts w:hint="default" w:ascii="Times New Roman" w:hAnsi="Times New Roman" w:eastAsia="宋体" w:cs="Times New Roman"/>
          <w:b/>
          <w:bCs/>
          <w:snapToGrid w:val="0"/>
          <w:color w:val="auto"/>
          <w:kern w:val="0"/>
          <w:sz w:val="44"/>
          <w:szCs w:val="44"/>
          <w:lang w:val="en-US" w:eastAsia="zh-CN" w:bidi="ar-SA"/>
        </w:rPr>
      </w:pPr>
      <w:r>
        <w:rPr>
          <w:rFonts w:hint="default" w:ascii="Times New Roman" w:hAnsi="Times New Roman" w:eastAsia="仿宋" w:cs="Times New Roman"/>
          <w:b/>
          <w:color w:val="auto"/>
          <w:szCs w:val="28"/>
          <w:highlight w:val="none"/>
          <w:shd w:val="clear" w:color="auto" w:fill="auto"/>
        </w:rPr>
        <w:br w:type="page"/>
      </w:r>
      <w:bookmarkEnd w:id="18"/>
      <w:bookmarkEnd w:id="19"/>
      <w:bookmarkEnd w:id="20"/>
      <w:bookmarkEnd w:id="21"/>
      <w:bookmarkEnd w:id="22"/>
      <w:bookmarkStart w:id="30" w:name="_Toc29644"/>
      <w:bookmarkStart w:id="31" w:name="_Toc31620"/>
      <w:bookmarkStart w:id="32" w:name="_Toc3015"/>
      <w:bookmarkStart w:id="33" w:name="_Toc5688"/>
      <w:bookmarkStart w:id="34" w:name="_Toc10768"/>
      <w:bookmarkStart w:id="35" w:name="_Toc8916"/>
      <w:bookmarkStart w:id="36" w:name="_Toc20055"/>
      <w:bookmarkStart w:id="37" w:name="_Toc65660354"/>
      <w: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t>第三篇  评审办法</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ajorEastAsia"/>
          <w:b/>
          <w:bCs/>
          <w:sz w:val="24"/>
          <w:szCs w:val="24"/>
        </w:rPr>
      </w:pPr>
      <w:bookmarkStart w:id="38" w:name="_Toc58860122"/>
      <w:bookmarkStart w:id="39" w:name="_Toc22972"/>
      <w:bookmarkStart w:id="40" w:name="_Toc9487"/>
      <w:r>
        <w:rPr>
          <w:rFonts w:hint="default" w:ascii="Times New Roman" w:hAnsi="Times New Roman" w:cs="Times New Roman" w:eastAsiaTheme="majorEastAsia"/>
          <w:b/>
          <w:bCs/>
          <w:sz w:val="24"/>
          <w:szCs w:val="24"/>
          <w:lang w:eastAsia="zh-CN"/>
        </w:rPr>
        <w:t>评审</w:t>
      </w:r>
      <w:r>
        <w:rPr>
          <w:rFonts w:hint="default" w:ascii="Times New Roman" w:hAnsi="Times New Roman" w:cs="Times New Roman" w:eastAsiaTheme="majorEastAsia"/>
          <w:b/>
          <w:bCs/>
          <w:sz w:val="24"/>
          <w:szCs w:val="24"/>
        </w:rPr>
        <w:t>办法前附表</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ajorEastAsia"/>
          <w:sz w:val="24"/>
          <w:szCs w:val="24"/>
        </w:rPr>
      </w:pPr>
      <w:bookmarkStart w:id="41" w:name="_Toc13210726"/>
      <w:r>
        <w:rPr>
          <w:rFonts w:hint="default" w:ascii="Times New Roman" w:hAnsi="Times New Roman" w:cs="Times New Roman" w:eastAsiaTheme="majorEastAsia"/>
          <w:sz w:val="24"/>
          <w:szCs w:val="24"/>
          <w:lang w:eastAsia="zh-CN"/>
        </w:rPr>
        <w:t>评审</w:t>
      </w:r>
      <w:r>
        <w:rPr>
          <w:rFonts w:hint="default" w:ascii="Times New Roman" w:hAnsi="Times New Roman" w:cs="Times New Roman" w:eastAsiaTheme="majorEastAsia"/>
          <w:sz w:val="24"/>
          <w:szCs w:val="24"/>
        </w:rPr>
        <w:t>办法前附表中的评审内容必须和</w:t>
      </w:r>
      <w:r>
        <w:rPr>
          <w:rFonts w:hint="default" w:ascii="Times New Roman" w:hAnsi="Times New Roman" w:cs="Times New Roman" w:eastAsiaTheme="majorEastAsia"/>
          <w:sz w:val="24"/>
          <w:szCs w:val="24"/>
          <w:lang w:eastAsia="zh-CN"/>
        </w:rPr>
        <w:t>供应商</w:t>
      </w:r>
      <w:r>
        <w:rPr>
          <w:rFonts w:hint="default" w:ascii="Times New Roman" w:hAnsi="Times New Roman" w:cs="Times New Roman" w:eastAsiaTheme="majorEastAsia"/>
          <w:sz w:val="24"/>
          <w:szCs w:val="24"/>
        </w:rPr>
        <w:t>须知中的对应内容一致，若</w:t>
      </w:r>
      <w:r>
        <w:rPr>
          <w:rFonts w:hint="default" w:ascii="Times New Roman" w:hAnsi="Times New Roman" w:cs="Times New Roman" w:eastAsiaTheme="majorEastAsia"/>
          <w:sz w:val="24"/>
          <w:szCs w:val="24"/>
          <w:lang w:eastAsia="zh-CN"/>
        </w:rPr>
        <w:t>供应商</w:t>
      </w:r>
      <w:r>
        <w:rPr>
          <w:rFonts w:hint="default" w:ascii="Times New Roman" w:hAnsi="Times New Roman" w:cs="Times New Roman" w:eastAsiaTheme="majorEastAsia"/>
          <w:sz w:val="24"/>
          <w:szCs w:val="24"/>
        </w:rPr>
        <w:t>须知中未作要求的内容，不得列入</w:t>
      </w:r>
      <w:r>
        <w:rPr>
          <w:rFonts w:hint="default" w:ascii="Times New Roman" w:hAnsi="Times New Roman" w:cs="Times New Roman" w:eastAsiaTheme="majorEastAsia"/>
          <w:sz w:val="24"/>
          <w:szCs w:val="24"/>
          <w:lang w:eastAsia="zh-CN"/>
        </w:rPr>
        <w:t>评审</w:t>
      </w:r>
      <w:r>
        <w:rPr>
          <w:rFonts w:hint="default" w:ascii="Times New Roman" w:hAnsi="Times New Roman" w:cs="Times New Roman" w:eastAsiaTheme="majorEastAsia"/>
          <w:sz w:val="24"/>
          <w:szCs w:val="24"/>
        </w:rPr>
        <w:t>办法作为评定依据。</w:t>
      </w:r>
      <w:bookmarkEnd w:id="41"/>
    </w:p>
    <w:tbl>
      <w:tblPr>
        <w:tblStyle w:val="10"/>
        <w:tblW w:w="9084"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310"/>
        <w:gridCol w:w="2630"/>
        <w:gridCol w:w="4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6" w:type="dxa"/>
            <w:tcBorders>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Times New Roman" w:hAnsi="Times New Roman" w:eastAsia="方正黑体_GBK" w:cs="Times New Roman"/>
                <w:b w:val="0"/>
                <w:bCs/>
                <w:color w:val="auto"/>
                <w:kern w:val="0"/>
                <w:sz w:val="24"/>
                <w:szCs w:val="24"/>
              </w:rPr>
            </w:pPr>
            <w:r>
              <w:rPr>
                <w:rFonts w:hint="default" w:ascii="Times New Roman" w:hAnsi="Times New Roman" w:eastAsia="方正黑体_GBK" w:cs="Times New Roman"/>
                <w:b w:val="0"/>
                <w:bCs/>
                <w:color w:val="auto"/>
                <w:kern w:val="0"/>
                <w:sz w:val="24"/>
                <w:szCs w:val="24"/>
              </w:rPr>
              <w:t>条款号</w:t>
            </w:r>
          </w:p>
        </w:tc>
        <w:tc>
          <w:tcPr>
            <w:tcW w:w="1310" w:type="dxa"/>
            <w:tcBorders>
              <w:lef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Times New Roman" w:hAnsi="Times New Roman" w:eastAsia="方正黑体_GBK" w:cs="Times New Roman"/>
                <w:b w:val="0"/>
                <w:bCs/>
                <w:color w:val="auto"/>
                <w:kern w:val="0"/>
                <w:sz w:val="24"/>
                <w:szCs w:val="24"/>
              </w:rPr>
            </w:pPr>
            <w:r>
              <w:rPr>
                <w:rFonts w:hint="default" w:ascii="Times New Roman" w:hAnsi="Times New Roman" w:eastAsia="方正黑体_GBK" w:cs="Times New Roman"/>
                <w:b w:val="0"/>
                <w:bCs/>
                <w:color w:val="auto"/>
                <w:kern w:val="0"/>
                <w:sz w:val="24"/>
                <w:szCs w:val="24"/>
              </w:rPr>
              <w:t>评审因素</w:t>
            </w:r>
          </w:p>
        </w:tc>
        <w:tc>
          <w:tcPr>
            <w:tcW w:w="6718" w:type="dxa"/>
            <w:gridSpan w:val="2"/>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Times New Roman" w:hAnsi="Times New Roman" w:eastAsia="方正黑体_GBK" w:cs="Times New Roman"/>
                <w:b w:val="0"/>
                <w:bCs/>
                <w:color w:val="auto"/>
                <w:kern w:val="0"/>
                <w:sz w:val="24"/>
                <w:szCs w:val="24"/>
              </w:rPr>
            </w:pPr>
            <w:r>
              <w:rPr>
                <w:rFonts w:hint="default" w:ascii="Times New Roman" w:hAnsi="Times New Roman" w:eastAsia="方正黑体_GBK" w:cs="Times New Roman"/>
                <w:b w:val="0"/>
                <w:bCs/>
                <w:color w:val="auto"/>
                <w:kern w:val="0"/>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trPr>
        <w:tc>
          <w:tcPr>
            <w:tcW w:w="10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w:t>
            </w:r>
          </w:p>
        </w:tc>
        <w:tc>
          <w:tcPr>
            <w:tcW w:w="1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评审办法</w:t>
            </w:r>
          </w:p>
        </w:tc>
        <w:tc>
          <w:tcPr>
            <w:tcW w:w="67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eastAsia="zh-CN"/>
              </w:rPr>
            </w:pPr>
            <w:r>
              <w:rPr>
                <w:rFonts w:hint="default" w:ascii="Times New Roman" w:hAnsi="Times New Roman" w:cs="Times New Roman" w:eastAsiaTheme="majorEastAsia"/>
                <w:sz w:val="24"/>
                <w:szCs w:val="24"/>
                <w:lang w:eastAsia="zh-CN"/>
              </w:rPr>
              <w:t>本次评审采用经评审的最低</w:t>
            </w:r>
            <w:r>
              <w:rPr>
                <w:rFonts w:hint="default" w:ascii="Times New Roman" w:hAnsi="Times New Roman" w:cs="Times New Roman" w:eastAsiaTheme="majorEastAsia"/>
                <w:sz w:val="24"/>
                <w:szCs w:val="24"/>
                <w:lang w:val="en-US" w:eastAsia="zh-CN"/>
              </w:rPr>
              <w:t>响应报</w:t>
            </w:r>
            <w:r>
              <w:rPr>
                <w:rFonts w:hint="default" w:ascii="Times New Roman" w:hAnsi="Times New Roman" w:cs="Times New Roman" w:eastAsiaTheme="majorEastAsia"/>
                <w:sz w:val="24"/>
                <w:szCs w:val="24"/>
                <w:lang w:eastAsia="zh-CN"/>
              </w:rPr>
              <w:t xml:space="preserve">价法，评审委员会按照本章第2.1款进行报价排序，按照本章第2.2款进行符合性审查，符合性审查合格的供应商中按报价由低到高推荐中选候选人。若出现供应商响应报价相同的，由评审委员会按照 </w:t>
            </w:r>
            <w:r>
              <w:rPr>
                <w:rFonts w:hint="default" w:ascii="Times New Roman" w:hAnsi="Times New Roman" w:cs="Times New Roman" w:eastAsiaTheme="majorEastAsia"/>
                <w:sz w:val="24"/>
                <w:szCs w:val="24"/>
                <w:lang w:val="en-US" w:eastAsia="zh-CN"/>
              </w:rPr>
              <w:t>技术及服务响应更有利于比选人优先的</w:t>
            </w:r>
            <w:r>
              <w:rPr>
                <w:rFonts w:hint="default" w:ascii="Times New Roman" w:hAnsi="Times New Roman" w:cs="Times New Roman" w:eastAsiaTheme="majorEastAsia"/>
                <w:sz w:val="24"/>
                <w:szCs w:val="24"/>
                <w:lang w:eastAsia="zh-CN"/>
              </w:rPr>
              <w:t xml:space="preserve"> 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2.1</w:t>
            </w:r>
          </w:p>
        </w:tc>
        <w:tc>
          <w:tcPr>
            <w:tcW w:w="13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报价排序</w:t>
            </w:r>
          </w:p>
        </w:tc>
        <w:tc>
          <w:tcPr>
            <w:tcW w:w="6718"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对报价不高于最高限价的所有供应商的响应文件，按照报价由低到高的顺序排序。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5" w:hRule="atLeast"/>
        </w:trPr>
        <w:tc>
          <w:tcPr>
            <w:tcW w:w="10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2.2</w:t>
            </w:r>
          </w:p>
        </w:tc>
        <w:tc>
          <w:tcPr>
            <w:tcW w:w="13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审查</w:t>
            </w:r>
          </w:p>
        </w:tc>
        <w:tc>
          <w:tcPr>
            <w:tcW w:w="6718"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取报价排序前3名进行符合性审查。符合性审查内容：资格评审、形式及响应性评审。符合性审查合格的供应商中，报价最低的成为第一中选候选人，报价次低的成为第二中选候选人，依次类推。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符合性审查中有任何一项不符合要求，符合性审查不合格，由评审委员会作否决响应处理。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2.2.1</w:t>
            </w:r>
          </w:p>
        </w:tc>
        <w:tc>
          <w:tcPr>
            <w:tcW w:w="1310"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资格评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审标准</w:t>
            </w:r>
          </w:p>
        </w:tc>
        <w:tc>
          <w:tcPr>
            <w:tcW w:w="26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基本资格要求</w:t>
            </w:r>
          </w:p>
        </w:tc>
        <w:tc>
          <w:tcPr>
            <w:tcW w:w="4088"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p>
        </w:tc>
        <w:tc>
          <w:tcPr>
            <w:tcW w:w="13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p>
        </w:tc>
        <w:tc>
          <w:tcPr>
            <w:tcW w:w="26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联合体</w:t>
            </w:r>
          </w:p>
        </w:tc>
        <w:tc>
          <w:tcPr>
            <w:tcW w:w="4088"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p>
        </w:tc>
        <w:tc>
          <w:tcPr>
            <w:tcW w:w="13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p>
        </w:tc>
        <w:tc>
          <w:tcPr>
            <w:tcW w:w="26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不得存在的情形</w:t>
            </w:r>
          </w:p>
        </w:tc>
        <w:tc>
          <w:tcPr>
            <w:tcW w:w="4088"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符合第二章“供应商须知”第1.4.3项规定。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p>
        </w:tc>
        <w:tc>
          <w:tcPr>
            <w:tcW w:w="13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p>
        </w:tc>
        <w:tc>
          <w:tcPr>
            <w:tcW w:w="26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材料真实性</w:t>
            </w:r>
          </w:p>
        </w:tc>
        <w:tc>
          <w:tcPr>
            <w:tcW w:w="4088"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符合第二章“供应商须知”第1.4.4项规定。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2.2.2</w:t>
            </w:r>
          </w:p>
        </w:tc>
        <w:tc>
          <w:tcPr>
            <w:tcW w:w="1310"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形式及响应性评审标准</w:t>
            </w:r>
          </w:p>
        </w:tc>
        <w:tc>
          <w:tcPr>
            <w:tcW w:w="2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供应商名称</w:t>
            </w:r>
          </w:p>
        </w:tc>
        <w:tc>
          <w:tcPr>
            <w:tcW w:w="40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与营业执照一致，依法变更名称的应提交相应证明材料。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p>
        </w:tc>
        <w:tc>
          <w:tcPr>
            <w:tcW w:w="13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p>
        </w:tc>
        <w:tc>
          <w:tcPr>
            <w:tcW w:w="2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响应报价</w:t>
            </w:r>
          </w:p>
        </w:tc>
        <w:tc>
          <w:tcPr>
            <w:tcW w:w="40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符合第二章“供应商须知”第3.2项的要求。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color w:val="auto"/>
                <w:kern w:val="0"/>
                <w:sz w:val="24"/>
                <w:szCs w:val="24"/>
              </w:rPr>
            </w:pPr>
          </w:p>
        </w:tc>
        <w:tc>
          <w:tcPr>
            <w:tcW w:w="13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color w:val="auto"/>
                <w:kern w:val="0"/>
                <w:sz w:val="24"/>
                <w:szCs w:val="24"/>
              </w:rPr>
            </w:pPr>
          </w:p>
        </w:tc>
        <w:tc>
          <w:tcPr>
            <w:tcW w:w="2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响应有效期</w:t>
            </w:r>
          </w:p>
        </w:tc>
        <w:tc>
          <w:tcPr>
            <w:tcW w:w="40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符合第二章“供应商须知”第3.3项的要求。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color w:val="auto"/>
                <w:kern w:val="0"/>
                <w:sz w:val="24"/>
                <w:szCs w:val="24"/>
              </w:rPr>
            </w:pPr>
          </w:p>
        </w:tc>
        <w:tc>
          <w:tcPr>
            <w:tcW w:w="13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color w:val="auto"/>
                <w:kern w:val="0"/>
                <w:sz w:val="24"/>
                <w:szCs w:val="24"/>
              </w:rPr>
            </w:pPr>
          </w:p>
        </w:tc>
        <w:tc>
          <w:tcPr>
            <w:tcW w:w="2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响应文件的编制</w:t>
            </w:r>
          </w:p>
        </w:tc>
        <w:tc>
          <w:tcPr>
            <w:tcW w:w="40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符合第二章“供应商须知”第3.5项的要求。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color w:val="auto"/>
                <w:kern w:val="0"/>
                <w:sz w:val="24"/>
                <w:szCs w:val="24"/>
              </w:rPr>
            </w:pPr>
          </w:p>
        </w:tc>
        <w:tc>
          <w:tcPr>
            <w:tcW w:w="13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color w:val="auto"/>
                <w:kern w:val="0"/>
                <w:sz w:val="24"/>
                <w:szCs w:val="24"/>
              </w:rPr>
            </w:pPr>
          </w:p>
        </w:tc>
        <w:tc>
          <w:tcPr>
            <w:tcW w:w="2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备选竞选方案</w:t>
            </w:r>
          </w:p>
        </w:tc>
        <w:tc>
          <w:tcPr>
            <w:tcW w:w="40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符合第二章“供应商须知”第3.4项的要求。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0"/>
                <w:sz w:val="24"/>
                <w:szCs w:val="24"/>
              </w:rPr>
            </w:pPr>
          </w:p>
        </w:tc>
        <w:tc>
          <w:tcPr>
            <w:tcW w:w="13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0"/>
                <w:sz w:val="24"/>
                <w:szCs w:val="24"/>
              </w:rPr>
            </w:pPr>
          </w:p>
        </w:tc>
        <w:tc>
          <w:tcPr>
            <w:tcW w:w="2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供货期及质保期</w:t>
            </w:r>
          </w:p>
        </w:tc>
        <w:tc>
          <w:tcPr>
            <w:tcW w:w="40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符合第二章“供应商须知”第1.3项规定。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0"/>
                <w:sz w:val="24"/>
                <w:szCs w:val="24"/>
              </w:rPr>
            </w:pPr>
          </w:p>
        </w:tc>
        <w:tc>
          <w:tcPr>
            <w:tcW w:w="13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0"/>
                <w:sz w:val="24"/>
                <w:szCs w:val="24"/>
              </w:rPr>
            </w:pPr>
          </w:p>
        </w:tc>
        <w:tc>
          <w:tcPr>
            <w:tcW w:w="2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技术及服务响应</w:t>
            </w:r>
          </w:p>
        </w:tc>
        <w:tc>
          <w:tcPr>
            <w:tcW w:w="40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符合第五章“项目技术（服务）要求”规定。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56"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0"/>
                <w:sz w:val="24"/>
                <w:szCs w:val="24"/>
              </w:rPr>
            </w:pPr>
          </w:p>
        </w:tc>
        <w:tc>
          <w:tcPr>
            <w:tcW w:w="1310" w:type="dxa"/>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0"/>
                <w:sz w:val="24"/>
                <w:szCs w:val="24"/>
              </w:rPr>
            </w:pPr>
          </w:p>
        </w:tc>
        <w:tc>
          <w:tcPr>
            <w:tcW w:w="2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实质性要求</w:t>
            </w:r>
          </w:p>
        </w:tc>
        <w:tc>
          <w:tcPr>
            <w:tcW w:w="40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符合比选文件要求的其他规定。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0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3</w:t>
            </w:r>
          </w:p>
        </w:tc>
        <w:tc>
          <w:tcPr>
            <w:tcW w:w="13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其他</w:t>
            </w:r>
          </w:p>
        </w:tc>
        <w:tc>
          <w:tcPr>
            <w:tcW w:w="6718"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1.若上述程序未能评出三名中选候选人，则评审委员会对剩余响应文件继续按上述第2条进行评审，直至评出三名中选候选人，或者评审完所有响应文件。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2.因评审委员会作否决响应处理，导致有效供应商不足三个的，评审委员会应当对有效供应商是否仍具有竞争性进行论证。评审委员会认为有效供应商的经济、技术等指标仍然具有市场竞争力，并满足比选文件要求的，评审委员会可以继续评审并确定中选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0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4</w:t>
            </w:r>
          </w:p>
        </w:tc>
        <w:tc>
          <w:tcPr>
            <w:tcW w:w="13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评审结果</w:t>
            </w:r>
          </w:p>
        </w:tc>
        <w:tc>
          <w:tcPr>
            <w:tcW w:w="6718"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评审委员会完成评审后，应当向比选人提交书面评审报告和中选候选人名单。</w:t>
            </w:r>
          </w:p>
        </w:tc>
      </w:tr>
    </w:tbl>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bookmarkStart w:id="42" w:name="_Toc11962"/>
      <w:bookmarkStart w:id="43" w:name="_Toc58860123"/>
      <w:bookmarkStart w:id="44" w:name="_Toc29822"/>
      <w:r>
        <w:rPr>
          <w:rFonts w:hint="default" w:ascii="Times New Roman" w:hAnsi="Times New Roman" w:eastAsia="方正楷体_GBK" w:cs="Times New Roman"/>
          <w:b/>
          <w:bCs w:val="0"/>
          <w:snapToGrid w:val="0"/>
          <w:color w:val="auto"/>
          <w:kern w:val="2"/>
          <w:sz w:val="24"/>
          <w:szCs w:val="24"/>
          <w:highlight w:val="none"/>
          <w:lang w:val="en-US" w:eastAsia="zh-CN" w:bidi="ar-SA"/>
        </w:rPr>
        <w:t>1.评审方法</w:t>
      </w:r>
      <w:bookmarkEnd w:id="42"/>
      <w:bookmarkEnd w:id="43"/>
      <w:bookmarkEnd w:id="44"/>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本次评审采用经评审的最低响应报价法，评审委员会按照本章第2.1款进行报价排序，按照本章第2.2款进行符合性审查，符合性审查合格的供应商中按报价由低到高推荐中选候选人。若出现供应商响应报价相同的，以评审办法前附表约定的原则确定排序。</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bookmarkStart w:id="45" w:name="_Toc58860124"/>
      <w:bookmarkStart w:id="46" w:name="_Toc4671"/>
      <w:bookmarkStart w:id="47" w:name="_Toc6405"/>
      <w:r>
        <w:rPr>
          <w:rFonts w:hint="default" w:ascii="Times New Roman" w:hAnsi="Times New Roman" w:eastAsia="方正楷体_GBK" w:cs="Times New Roman"/>
          <w:b/>
          <w:bCs w:val="0"/>
          <w:snapToGrid w:val="0"/>
          <w:color w:val="auto"/>
          <w:kern w:val="2"/>
          <w:sz w:val="24"/>
          <w:szCs w:val="24"/>
          <w:highlight w:val="none"/>
          <w:lang w:val="en-US" w:eastAsia="zh-CN" w:bidi="ar-SA"/>
        </w:rPr>
        <w:t>2.评审标准</w:t>
      </w:r>
      <w:bookmarkEnd w:id="45"/>
      <w:bookmarkEnd w:id="46"/>
      <w:bookmarkEnd w:id="47"/>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bookmarkStart w:id="48" w:name="_Toc27601"/>
      <w:bookmarkStart w:id="49" w:name="_Toc58860125"/>
      <w:bookmarkStart w:id="50" w:name="_Toc1272"/>
      <w:r>
        <w:rPr>
          <w:rFonts w:hint="default" w:ascii="Times New Roman" w:hAnsi="Times New Roman" w:cs="Times New Roman" w:eastAsiaTheme="minorEastAsia"/>
          <w:color w:val="auto"/>
          <w:kern w:val="2"/>
          <w:sz w:val="24"/>
          <w:szCs w:val="24"/>
          <w:highlight w:val="none"/>
          <w:shd w:val="clear" w:color="auto" w:fill="auto"/>
          <w:lang w:val="en-US" w:eastAsia="zh-CN" w:bidi="ar-SA"/>
        </w:rPr>
        <w:t>2.1报价排序标准</w:t>
      </w:r>
      <w:bookmarkEnd w:id="48"/>
      <w:bookmarkEnd w:id="49"/>
      <w:bookmarkEnd w:id="50"/>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见评审办法前附表。</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bookmarkStart w:id="51" w:name="_Toc58860126"/>
      <w:bookmarkStart w:id="52" w:name="_Toc429"/>
      <w:bookmarkStart w:id="53" w:name="_Toc19640"/>
      <w:r>
        <w:rPr>
          <w:rFonts w:hint="default" w:ascii="Times New Roman" w:hAnsi="Times New Roman" w:cs="Times New Roman" w:eastAsiaTheme="minorEastAsia"/>
          <w:color w:val="auto"/>
          <w:kern w:val="2"/>
          <w:sz w:val="24"/>
          <w:szCs w:val="24"/>
          <w:highlight w:val="none"/>
          <w:shd w:val="clear" w:color="auto" w:fill="auto"/>
          <w:lang w:val="en-US" w:eastAsia="zh-CN" w:bidi="ar-SA"/>
        </w:rPr>
        <w:t>2.2符合性审查标准</w:t>
      </w:r>
      <w:bookmarkEnd w:id="51"/>
      <w:bookmarkEnd w:id="52"/>
      <w:bookmarkEnd w:id="53"/>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评审委员会按评审办法前附表约定的投标单位报价排序数量进行符合性审查。符合性审查内容：资格评审、形式及响应性评审。</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2.2.1  资格评审标准：见评审办法前附表。</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2.2.2  形式及响应性评审标准：见评审办法前附表。</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bookmarkStart w:id="54" w:name="_Toc2961"/>
      <w:bookmarkStart w:id="55" w:name="_Toc58860127"/>
      <w:bookmarkStart w:id="56" w:name="_Toc18979"/>
      <w:r>
        <w:rPr>
          <w:rFonts w:hint="default" w:ascii="Times New Roman" w:hAnsi="Times New Roman" w:eastAsia="方正楷体_GBK" w:cs="Times New Roman"/>
          <w:b/>
          <w:bCs w:val="0"/>
          <w:snapToGrid w:val="0"/>
          <w:color w:val="auto"/>
          <w:kern w:val="2"/>
          <w:sz w:val="24"/>
          <w:szCs w:val="24"/>
          <w:highlight w:val="none"/>
          <w:lang w:val="en-US" w:eastAsia="zh-CN" w:bidi="ar-SA"/>
        </w:rPr>
        <w:t>3.</w:t>
      </w:r>
      <w:bookmarkEnd w:id="54"/>
      <w:bookmarkEnd w:id="55"/>
      <w:bookmarkEnd w:id="56"/>
      <w:r>
        <w:rPr>
          <w:rFonts w:hint="default" w:ascii="Times New Roman" w:hAnsi="Times New Roman" w:eastAsia="方正楷体_GBK" w:cs="Times New Roman"/>
          <w:b/>
          <w:bCs w:val="0"/>
          <w:snapToGrid w:val="0"/>
          <w:color w:val="auto"/>
          <w:kern w:val="2"/>
          <w:sz w:val="24"/>
          <w:szCs w:val="24"/>
          <w:highlight w:val="none"/>
          <w:lang w:val="en-US" w:eastAsia="zh-CN" w:bidi="ar-SA"/>
        </w:rPr>
        <w:t>其他</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3.1 供应商有以下情形之一的，其响应文件将被否决：</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（1）响应文件没有对比选文件的实质性要求和条件作出响应，或者对比选文件的偏差超出比选文件规定的偏差范围或最高项数；</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（2）有串通投标、弄虚作假、行贿等违法行为；</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（3）拒绝按评审委员会要求澄清、说明或补正的。</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3.2 响应报价有算术错误及其他错误的，评审委员会按以下原则要求供应商对响应报价进行修正，并要求供应商书面澄清确认。供应商拒不澄清确认的，评审委员会应当否决其投标：</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（1）响应文件中的大写金额与小写金额不一致的，以大写金额为准；</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2）响应文件中的大写金额与小写金额不一致的，以大写金额为准；分项报价表中各分项总价金额与依据固定单价计算出的结果不一致的，由评审委员会要求供应商书面澄清确认，供应商拒不澄清或澄清后仍不一致的，作否决响应处理。</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（3）响应报价为各分项总价金额之和，响应报价与各分项总价的合价不一致的，由评审委员会作否决响应处理；</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（4）如果分项报价中存在缺漏项，则视为缺漏项价格已包含在其他分项报价之中。</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bookmarkStart w:id="57" w:name="_Toc28487"/>
      <w:bookmarkStart w:id="58" w:name="_Toc58860130"/>
      <w:r>
        <w:rPr>
          <w:rFonts w:hint="default" w:ascii="Times New Roman" w:hAnsi="Times New Roman" w:cs="Times New Roman" w:eastAsiaTheme="minorEastAsia"/>
          <w:color w:val="auto"/>
          <w:kern w:val="2"/>
          <w:sz w:val="24"/>
          <w:szCs w:val="24"/>
          <w:highlight w:val="none"/>
          <w:shd w:val="clear" w:color="auto" w:fill="auto"/>
          <w:lang w:val="en-US" w:eastAsia="zh-CN" w:bidi="ar-SA"/>
        </w:rPr>
        <w:t>3.3 响应文件的澄清</w:t>
      </w:r>
      <w:bookmarkEnd w:id="57"/>
      <w:bookmarkEnd w:id="58"/>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3.3.1  在评审过程中，评审委员会可以书面形式要求供应商对所提交响应文件中含义不明确、对同类问题表述不一致或者有明显文字和计算错误的内容作必要的澄清、说明或补正。澄清、说明或补正应以书面方式进行。评审委员会不接受供应商主动提出的澄清、说明或补正。</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3.3.2  澄清、说明或补正不得超出响应文件的范围且不得改变响应文件的实质性内容，并构成响应文件的组成部分。</w:t>
      </w:r>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3.3.3  评审委员会对供应商提交的澄清、说明或补正有疑问的，可以要求供应商进一步澄清、说明或补正，直至满足评审委员会的要求。</w:t>
      </w:r>
    </w:p>
    <w:p>
      <w:pPr>
        <w:keepNext w:val="0"/>
        <w:keepLines w:val="0"/>
        <w:pageBreakBefore w:val="0"/>
        <w:widowControl w:val="0"/>
        <w:numPr>
          <w:ilvl w:val="2"/>
          <w:numId w:val="0"/>
        </w:numPr>
        <w:kinsoku/>
        <w:wordWrap w:val="0"/>
        <w:overflowPunct/>
        <w:topLinePunct w:val="0"/>
        <w:autoSpaceDE w:val="0"/>
        <w:autoSpaceDN w:val="0"/>
        <w:bidi w:val="0"/>
        <w:adjustRightInd w:val="0"/>
        <w:snapToGrid w:val="0"/>
        <w:spacing w:before="0" w:after="0" w:line="400" w:lineRule="exact"/>
        <w:jc w:val="left"/>
        <w:outlineLvl w:val="2"/>
        <w:rPr>
          <w:rFonts w:hint="default" w:ascii="Times New Roman" w:hAnsi="Times New Roman" w:eastAsia="方正楷体_GBK" w:cs="Times New Roman"/>
          <w:b/>
          <w:bCs w:val="0"/>
          <w:snapToGrid w:val="0"/>
          <w:color w:val="auto"/>
          <w:kern w:val="2"/>
          <w:sz w:val="24"/>
          <w:szCs w:val="24"/>
          <w:highlight w:val="none"/>
          <w:lang w:val="en-US" w:eastAsia="zh-CN" w:bidi="ar-SA"/>
        </w:rPr>
      </w:pPr>
      <w:bookmarkStart w:id="59" w:name="_Toc2301"/>
      <w:bookmarkStart w:id="60" w:name="_Toc484465184"/>
      <w:bookmarkStart w:id="61" w:name="_Toc58860131"/>
      <w:bookmarkStart w:id="62" w:name="_Toc479262406"/>
      <w:bookmarkStart w:id="63" w:name="_Toc18734"/>
      <w:r>
        <w:rPr>
          <w:rFonts w:hint="default" w:ascii="Times New Roman" w:hAnsi="Times New Roman" w:eastAsia="方正楷体_GBK" w:cs="Times New Roman"/>
          <w:b/>
          <w:bCs w:val="0"/>
          <w:snapToGrid w:val="0"/>
          <w:color w:val="auto"/>
          <w:kern w:val="2"/>
          <w:sz w:val="24"/>
          <w:szCs w:val="24"/>
          <w:highlight w:val="none"/>
          <w:lang w:val="en-US" w:eastAsia="zh-CN" w:bidi="ar-SA"/>
        </w:rPr>
        <w:t>4. 评审结果</w:t>
      </w:r>
      <w:bookmarkEnd w:id="59"/>
      <w:bookmarkEnd w:id="60"/>
      <w:bookmarkEnd w:id="61"/>
      <w:bookmarkEnd w:id="62"/>
      <w:bookmarkEnd w:id="63"/>
    </w:p>
    <w:p>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jc w:val="left"/>
        <w:rPr>
          <w:rFonts w:hint="default" w:ascii="Times New Roman" w:hAnsi="Times New Roman" w:cs="Times New Roman" w:eastAsiaTheme="minorEastAsia"/>
          <w:color w:val="auto"/>
          <w:kern w:val="2"/>
          <w:sz w:val="24"/>
          <w:szCs w:val="24"/>
          <w:highlight w:val="none"/>
          <w:shd w:val="clear" w:color="auto" w:fill="auto"/>
          <w:lang w:val="en-US" w:eastAsia="zh-CN" w:bidi="ar-SA"/>
        </w:rPr>
        <w:sectPr>
          <w:footerReference r:id="rId4" w:type="default"/>
          <w:pgSz w:w="11907" w:h="16840"/>
          <w:pgMar w:top="1984" w:right="1446" w:bottom="1644" w:left="1446" w:header="850" w:footer="992" w:gutter="0"/>
          <w:pgNumType w:fmt="decimal" w:start="1"/>
          <w:cols w:space="720" w:num="1"/>
          <w:rtlGutter w:val="0"/>
          <w:docGrid w:linePitch="312" w:charSpace="0"/>
        </w:sectPr>
      </w:pPr>
      <w:r>
        <w:rPr>
          <w:rFonts w:hint="default" w:ascii="Times New Roman" w:hAnsi="Times New Roman" w:cs="Times New Roman" w:eastAsiaTheme="minorEastAsia"/>
          <w:color w:val="auto"/>
          <w:kern w:val="2"/>
          <w:sz w:val="24"/>
          <w:szCs w:val="24"/>
          <w:highlight w:val="none"/>
          <w:shd w:val="clear" w:color="auto" w:fill="auto"/>
          <w:lang w:val="en-US" w:eastAsia="zh-CN" w:bidi="ar-SA"/>
        </w:rPr>
        <w:t>评审委员会完成评审后，应当向比选人提交书面评审报告和中选候选人名单。</w:t>
      </w:r>
    </w:p>
    <w:p>
      <w:pPr>
        <w:pStyle w:val="3"/>
        <w:numPr>
          <w:ilvl w:val="0"/>
          <w:numId w:val="0"/>
        </w:numPr>
        <w:tabs>
          <w:tab w:val="left" w:pos="3360"/>
        </w:tabs>
        <w:spacing w:before="0" w:beforeLines="0" w:after="0" w:afterLines="0" w:line="360" w:lineRule="auto"/>
        <w:ind w:leftChars="0"/>
        <w:jc w:val="cente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bookmarkStart w:id="64" w:name="_Toc12639"/>
      <w:bookmarkStart w:id="65" w:name="_Toc1246"/>
      <w: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t xml:space="preserve">第四篇 </w:t>
      </w:r>
      <w:bookmarkEnd w:id="34"/>
      <w:bookmarkEnd w:id="35"/>
      <w:bookmarkEnd w:id="36"/>
      <w:bookmarkEnd w:id="37"/>
      <w:bookmarkEnd w:id="64"/>
      <w: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t>合同条款及格式</w:t>
      </w:r>
      <w:bookmarkEnd w:id="65"/>
    </w:p>
    <w:p>
      <w:pPr>
        <w:keepNext w:val="0"/>
        <w:keepLines w:val="0"/>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b w:val="0"/>
          <w:bCs w:val="0"/>
          <w:kern w:val="0"/>
          <w:sz w:val="44"/>
          <w:szCs w:val="44"/>
          <w:lang w:val="en-US" w:eastAsia="zh-CN"/>
        </w:rPr>
      </w:pPr>
      <w:bookmarkStart w:id="66" w:name="OLE_LINK1"/>
      <w:bookmarkStart w:id="67" w:name="_Toc21909"/>
      <w:r>
        <w:rPr>
          <w:rFonts w:hint="default" w:ascii="Times New Roman" w:hAnsi="Times New Roman" w:eastAsia="方正小标宋_GBK" w:cs="Times New Roman"/>
          <w:b w:val="0"/>
          <w:bCs w:val="0"/>
          <w:kern w:val="0"/>
          <w:sz w:val="44"/>
          <w:szCs w:val="44"/>
          <w:lang w:val="en-US" w:eastAsia="zh-CN"/>
        </w:rPr>
        <w:t>会议系统设备采购合同</w:t>
      </w:r>
    </w:p>
    <w:bookmarkEnd w:id="66"/>
    <w:p>
      <w:pPr>
        <w:keepNext w:val="0"/>
        <w:keepLines w:val="0"/>
        <w:pageBreakBefore w:val="0"/>
        <w:kinsoku/>
        <w:wordWrap/>
        <w:overflowPunct/>
        <w:topLinePunct w:val="0"/>
        <w:autoSpaceDE/>
        <w:autoSpaceDN/>
        <w:bidi w:val="0"/>
        <w:adjustRightInd/>
        <w:spacing w:line="594" w:lineRule="exact"/>
        <w:ind w:firstLine="5320" w:firstLineChars="1900"/>
        <w:jc w:val="left"/>
        <w:textAlignment w:val="auto"/>
        <w:rPr>
          <w:rFonts w:hint="default" w:ascii="Times New Roman" w:hAnsi="Times New Roman" w:eastAsia="方正楷体_GBK" w:cs="Times New Roman"/>
          <w:b w:val="0"/>
          <w:bCs w:val="0"/>
          <w:kern w:val="0"/>
          <w:sz w:val="28"/>
          <w:szCs w:val="28"/>
          <w:lang w:val="en-US" w:eastAsia="zh-CN"/>
        </w:rPr>
      </w:pPr>
      <w:r>
        <w:rPr>
          <w:rFonts w:hint="default" w:ascii="Times New Roman" w:hAnsi="Times New Roman" w:eastAsia="方正楷体_GBK" w:cs="Times New Roman"/>
          <w:b w:val="0"/>
          <w:bCs w:val="0"/>
          <w:kern w:val="0"/>
          <w:sz w:val="28"/>
          <w:szCs w:val="28"/>
          <w:lang w:val="en-US" w:eastAsia="zh-CN"/>
        </w:rPr>
        <w:t>合同编号：LPCG25******</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方正黑体_GBK" w:cs="Times New Roman"/>
          <w:b w:val="0"/>
          <w:bCs w:val="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宋体" w:cs="Times New Roman"/>
          <w:b w:val="0"/>
          <w:bCs/>
          <w:color w:val="auto"/>
          <w:kern w:val="0"/>
          <w:sz w:val="24"/>
          <w:szCs w:val="24"/>
          <w:lang w:val="en-US" w:eastAsia="zh-CN" w:bidi="ar-SA"/>
        </w:rPr>
      </w:pPr>
      <w:r>
        <w:rPr>
          <w:rFonts w:hint="default" w:ascii="Times New Roman" w:hAnsi="Times New Roman" w:eastAsia="方正黑体_GBK" w:cs="Times New Roman"/>
          <w:b w:val="0"/>
          <w:bCs w:val="0"/>
          <w:kern w:val="0"/>
          <w:sz w:val="24"/>
          <w:szCs w:val="24"/>
          <w:lang w:val="en-US" w:eastAsia="zh-CN"/>
        </w:rPr>
        <w:t>甲方（采购方）：</w:t>
      </w:r>
      <w:r>
        <w:rPr>
          <w:rFonts w:hint="default" w:ascii="Times New Roman" w:hAnsi="Times New Roman" w:eastAsia="宋体" w:cs="Times New Roman"/>
          <w:b w:val="0"/>
          <w:bCs/>
          <w:color w:val="auto"/>
          <w:kern w:val="0"/>
          <w:sz w:val="24"/>
          <w:szCs w:val="24"/>
          <w:u w:val="single"/>
          <w:lang w:val="en-US" w:eastAsia="zh-CN" w:bidi="ar-SA"/>
        </w:rPr>
        <w:t xml:space="preserve">重庆储备粮管理集团有限公司梁平分公司             </w:t>
      </w:r>
    </w:p>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auto"/>
        <w:rPr>
          <w:rFonts w:hint="default" w:ascii="Times New Roman" w:hAnsi="Times New Roman" w:eastAsia="宋体" w:cs="Times New Roman"/>
          <w:color w:val="333333"/>
          <w:kern w:val="0"/>
          <w:sz w:val="24"/>
          <w:szCs w:val="24"/>
          <w:u w:val="none"/>
          <w:lang w:val="en-US" w:eastAsia="zh-CN"/>
        </w:rPr>
      </w:pPr>
      <w:r>
        <w:rPr>
          <w:rFonts w:hint="default" w:ascii="Times New Roman" w:hAnsi="Times New Roman" w:eastAsia="方正黑体_GBK" w:cs="Times New Roman"/>
          <w:b w:val="0"/>
          <w:bCs w:val="0"/>
          <w:kern w:val="0"/>
          <w:sz w:val="24"/>
          <w:szCs w:val="24"/>
          <w:lang w:val="en-US" w:eastAsia="zh-CN"/>
        </w:rPr>
        <w:t>主要负责人:</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b w:val="0"/>
          <w:bCs/>
          <w:color w:val="auto"/>
          <w:kern w:val="0"/>
          <w:sz w:val="24"/>
          <w:szCs w:val="24"/>
          <w:u w:val="single"/>
          <w:lang w:val="en-US" w:eastAsia="zh-CN" w:bidi="ar-SA"/>
        </w:rPr>
        <w:t xml:space="preserve">  喻祖鹏    </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b w:val="0"/>
          <w:bCs w:val="0"/>
          <w:kern w:val="0"/>
          <w:sz w:val="24"/>
          <w:szCs w:val="24"/>
          <w:lang w:val="en-US" w:eastAsia="zh-CN"/>
        </w:rPr>
        <w:t>联系电话:</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b w:val="0"/>
          <w:bCs/>
          <w:color w:val="auto"/>
          <w:kern w:val="0"/>
          <w:sz w:val="24"/>
          <w:szCs w:val="24"/>
          <w:u w:val="single"/>
          <w:lang w:val="en-US" w:eastAsia="zh-CN" w:bidi="ar-SA"/>
        </w:rPr>
        <w:t xml:space="preserve">13908276356 </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color w:val="333333"/>
          <w:kern w:val="0"/>
          <w:sz w:val="24"/>
          <w:szCs w:val="24"/>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auto"/>
        <w:rPr>
          <w:rFonts w:hint="default" w:ascii="Times New Roman" w:hAnsi="Times New Roman" w:eastAsia="宋体" w:cs="Times New Roman"/>
          <w:color w:val="333333"/>
          <w:kern w:val="0"/>
          <w:sz w:val="24"/>
          <w:szCs w:val="24"/>
        </w:rPr>
      </w:pPr>
      <w:r>
        <w:rPr>
          <w:rFonts w:hint="default" w:ascii="Times New Roman" w:hAnsi="Times New Roman" w:eastAsia="方正黑体_GBK" w:cs="Times New Roman"/>
          <w:b w:val="0"/>
          <w:bCs w:val="0"/>
          <w:kern w:val="0"/>
          <w:sz w:val="24"/>
          <w:szCs w:val="24"/>
          <w:lang w:val="en-US" w:eastAsia="zh-CN"/>
        </w:rPr>
        <w:t>注册地址：</w:t>
      </w:r>
      <w:r>
        <w:rPr>
          <w:rFonts w:hint="default" w:ascii="Times New Roman" w:hAnsi="Times New Roman" w:eastAsia="宋体" w:cs="Times New Roman"/>
          <w:b w:val="0"/>
          <w:bCs/>
          <w:color w:val="auto"/>
          <w:kern w:val="0"/>
          <w:sz w:val="24"/>
          <w:szCs w:val="24"/>
          <w:u w:val="single"/>
          <w:lang w:val="en-US" w:eastAsia="zh-CN" w:bidi="ar-SA"/>
        </w:rPr>
        <w:t xml:space="preserve">重庆市梁平区梁山街道上八村二组131号 </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color w:val="333333"/>
          <w:kern w:val="0"/>
          <w:sz w:val="24"/>
          <w:szCs w:val="24"/>
          <w:u w:val="single"/>
        </w:rPr>
        <w:t xml:space="preserve"> </w:t>
      </w:r>
      <w:r>
        <w:rPr>
          <w:rFonts w:hint="default" w:ascii="Times New Roman" w:hAnsi="Times New Roman" w:eastAsia="宋体" w:cs="Times New Roman"/>
          <w:color w:val="333333"/>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宋体" w:cs="Times New Roman"/>
          <w:b/>
          <w:bCs/>
          <w:kern w:val="0"/>
          <w:sz w:val="24"/>
          <w:szCs w:val="24"/>
          <w:u w:val="none"/>
          <w:lang w:val="en-US" w:eastAsia="zh-CN"/>
        </w:rPr>
      </w:pPr>
      <w:r>
        <w:rPr>
          <w:rFonts w:hint="default" w:ascii="Times New Roman" w:hAnsi="Times New Roman" w:eastAsia="方正黑体_GBK" w:cs="Times New Roman"/>
          <w:b w:val="0"/>
          <w:bCs w:val="0"/>
          <w:kern w:val="0"/>
          <w:sz w:val="24"/>
          <w:szCs w:val="24"/>
          <w:lang w:val="en-US" w:eastAsia="zh-CN"/>
        </w:rPr>
        <w:t>乙方（供应方）：</w:t>
      </w:r>
      <w:r>
        <w:rPr>
          <w:rFonts w:hint="default" w:ascii="Times New Roman" w:hAnsi="Times New Roman" w:eastAsia="宋体" w:cs="Times New Roman"/>
          <w:b w:val="0"/>
          <w:bCs/>
          <w:color w:val="auto"/>
          <w:kern w:val="0"/>
          <w:sz w:val="24"/>
          <w:szCs w:val="24"/>
          <w:u w:val="single"/>
          <w:lang w:val="en-US" w:eastAsia="zh-CN" w:bidi="ar-SA"/>
        </w:rPr>
        <w:t xml:space="preserve">   </w:t>
      </w:r>
      <w:r>
        <w:rPr>
          <w:rFonts w:hint="default" w:ascii="Times New Roman" w:hAnsi="Times New Roman" w:eastAsia="宋体" w:cs="Times New Roman"/>
          <w:b/>
          <w:bCs/>
          <w:kern w:val="0"/>
          <w:sz w:val="24"/>
          <w:szCs w:val="24"/>
          <w:u w:val="single"/>
          <w:lang w:val="en-US" w:eastAsia="zh-CN"/>
        </w:rPr>
        <w:t xml:space="preserve">                                              </w:t>
      </w:r>
      <w:r>
        <w:rPr>
          <w:rFonts w:hint="default" w:ascii="Times New Roman" w:hAnsi="Times New Roman" w:eastAsia="宋体" w:cs="Times New Roman"/>
          <w:b/>
          <w:bCs/>
          <w:kern w:val="0"/>
          <w:sz w:val="24"/>
          <w:szCs w:val="24"/>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auto"/>
        <w:rPr>
          <w:rFonts w:hint="default" w:ascii="Times New Roman" w:hAnsi="Times New Roman" w:eastAsia="宋体" w:cs="Times New Roman"/>
          <w:color w:val="333333"/>
          <w:kern w:val="0"/>
          <w:sz w:val="24"/>
          <w:szCs w:val="24"/>
          <w:u w:val="none"/>
          <w:lang w:val="en-US" w:eastAsia="zh-CN"/>
        </w:rPr>
      </w:pPr>
      <w:r>
        <w:rPr>
          <w:rFonts w:hint="default" w:ascii="Times New Roman" w:hAnsi="Times New Roman" w:eastAsia="方正黑体_GBK" w:cs="Times New Roman"/>
          <w:b w:val="0"/>
          <w:bCs w:val="0"/>
          <w:kern w:val="0"/>
          <w:sz w:val="24"/>
          <w:szCs w:val="24"/>
          <w:lang w:val="en-US" w:eastAsia="zh-CN"/>
        </w:rPr>
        <w:t>法定代表人:</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b w:val="0"/>
          <w:bCs/>
          <w:color w:val="auto"/>
          <w:kern w:val="0"/>
          <w:sz w:val="24"/>
          <w:szCs w:val="24"/>
          <w:u w:val="single"/>
          <w:lang w:val="en-US" w:eastAsia="zh-CN" w:bidi="ar-SA"/>
        </w:rPr>
        <w:t xml:space="preserve">   </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b w:val="0"/>
          <w:bCs w:val="0"/>
          <w:kern w:val="0"/>
          <w:sz w:val="24"/>
          <w:szCs w:val="24"/>
          <w:lang w:val="en-US" w:eastAsia="zh-CN"/>
        </w:rPr>
        <w:t>联系电话:</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b w:val="0"/>
          <w:bCs/>
          <w:color w:val="auto"/>
          <w:kern w:val="0"/>
          <w:sz w:val="24"/>
          <w:szCs w:val="24"/>
          <w:u w:val="single"/>
          <w:lang w:val="en-US" w:eastAsia="zh-CN" w:bidi="ar-SA"/>
        </w:rPr>
        <w:t xml:space="preserve">  </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color w:val="333333"/>
          <w:kern w:val="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方正黑体_GBK" w:cs="Times New Roman"/>
          <w:b w:val="0"/>
          <w:bCs w:val="0"/>
          <w:kern w:val="0"/>
          <w:sz w:val="24"/>
          <w:szCs w:val="24"/>
          <w:lang w:val="en-US" w:eastAsia="zh-CN"/>
        </w:rPr>
        <w:t>注册地址：</w:t>
      </w:r>
      <w:r>
        <w:rPr>
          <w:rFonts w:hint="default" w:ascii="Times New Roman" w:hAnsi="Times New Roman" w:eastAsia="宋体" w:cs="Times New Roman"/>
          <w:color w:val="333333"/>
          <w:kern w:val="0"/>
          <w:sz w:val="24"/>
          <w:szCs w:val="24"/>
          <w:u w:val="single"/>
          <w:lang w:val="en-US" w:eastAsia="zh-CN"/>
        </w:rPr>
        <w:t xml:space="preserve">  </w:t>
      </w:r>
      <w:r>
        <w:rPr>
          <w:rFonts w:hint="default" w:ascii="Times New Roman" w:hAnsi="Times New Roman" w:eastAsia="宋体" w:cs="Times New Roman"/>
          <w:b w:val="0"/>
          <w:bCs/>
          <w:color w:val="auto"/>
          <w:kern w:val="0"/>
          <w:sz w:val="24"/>
          <w:szCs w:val="24"/>
          <w:u w:val="single"/>
          <w:lang w:val="en-US" w:eastAsia="zh-CN" w:bidi="ar-SA"/>
        </w:rPr>
        <w:t xml:space="preserve">   </w:t>
      </w:r>
      <w:r>
        <w:rPr>
          <w:rFonts w:hint="default" w:ascii="Times New Roman" w:hAnsi="Times New Roman" w:eastAsia="宋体" w:cs="Times New Roman"/>
          <w:color w:val="333333"/>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beforeLines="0" w:afterLines="0" w:line="380" w:lineRule="exact"/>
        <w:ind w:left="0" w:leftChars="0" w:firstLine="560" w:firstLineChars="200"/>
        <w:jc w:val="left"/>
        <w:textAlignment w:val="auto"/>
        <w:rPr>
          <w:rFonts w:hint="default" w:ascii="Times New Roman" w:hAnsi="Times New Roman" w:eastAsia="宋体" w:cs="Times New Roman"/>
          <w:b w:val="0"/>
          <w:bCs w:val="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color w:val="auto"/>
          <w:kern w:val="0"/>
          <w:sz w:val="24"/>
          <w:szCs w:val="24"/>
          <w:u w:val="none"/>
          <w:lang w:val="en-US" w:eastAsia="zh-CN" w:bidi="ar-SA"/>
        </w:rPr>
        <w:t>甲方因业务需要，需采购一批会议系统设备，经竞争性比选，乙方中标提供该产品。根据《中华人民共和国民法典》《中华人民共和国产品质量法》《中华人民共和国消费者权益保护法实施条例》和有关法律法规规定，为明确双方权利和义务，经甲乙双方协商一致，订立本合同，并共同遵守</w:t>
      </w:r>
      <w:r>
        <w:rPr>
          <w:rFonts w:hint="default" w:ascii="Times New Roman" w:hAnsi="Times New Roman" w:cs="Times New Roman" w:eastAsiaTheme="minorEastAsia"/>
          <w:b w:val="0"/>
          <w:bCs w:val="0"/>
          <w:color w:val="auto"/>
          <w:kern w:val="0"/>
          <w:sz w:val="24"/>
          <w:szCs w:val="24"/>
          <w:lang w:val="en-US"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left"/>
        <w:textAlignment w:val="auto"/>
        <w:rPr>
          <w:rFonts w:hint="default" w:ascii="Times New Roman" w:hAnsi="Times New Roman" w:eastAsia="方正黑体_GBK" w:cs="Times New Roman"/>
          <w:bCs/>
          <w:kern w:val="0"/>
          <w:sz w:val="24"/>
          <w:szCs w:val="24"/>
          <w:lang w:val="en-US" w:eastAsia="zh-CN" w:bidi="ar"/>
        </w:rPr>
      </w:pPr>
      <w:r>
        <w:rPr>
          <w:rFonts w:hint="default" w:ascii="Times New Roman" w:hAnsi="Times New Roman" w:eastAsia="方正黑体_GBK" w:cs="Times New Roman"/>
          <w:bCs/>
          <w:kern w:val="0"/>
          <w:sz w:val="24"/>
          <w:szCs w:val="24"/>
          <w:lang w:val="en-US" w:eastAsia="zh-CN" w:bidi="ar"/>
        </w:rPr>
        <w:t>一、</w:t>
      </w:r>
      <w:r>
        <w:rPr>
          <w:rFonts w:hint="default" w:ascii="Times New Roman" w:hAnsi="Times New Roman" w:eastAsia="方正黑体_GBK" w:cs="Times New Roman"/>
          <w:b w:val="0"/>
          <w:bCs/>
          <w:kern w:val="0"/>
          <w:sz w:val="24"/>
          <w:szCs w:val="24"/>
          <w:lang w:val="en-US" w:eastAsia="zh-CN" w:bidi="ar"/>
        </w:rPr>
        <w:t>合同标的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乙方向甲方提供会议系统设备（含硬件及安装施工服务），具体型号、数量及技术参数：</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（一）LED屏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1.显示屏尺寸：宽3.52m，高1.76m；</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2.点间距≤1.538mm，像素密度≥422500点/平米；</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3.亮度≥500cd/㎡，发光点中心距偏差≤1%，亮度均匀性≥99%，鉴别等级BJ≥24；</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4.对比度：≥9000:1；水平/垂直视角≥170°；</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5.支持PWM灰阶控制技术提升低灰视觉效果，支持软件实现不同亮度情况下，灰度8-18bit任意设置；</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6.支持通过配套软件调节刷新率的设置选项，刷新率≥3840Hz,同时支持0~100%无极调节；</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7.能源效率≥3.2cd/w，符合GB21520-2015，能效一级；</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8.模组相对错位值≤0.1mm，平整度等级（P）≤0.5mm，换帧率≥50Hz，均符合SJ/T11141-2017标准C级；</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9.浪涌试验: 交流电源端: 差模0.5KV.共模1kV，抗雷击；</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10.峰值功耗≤253W/㎡，平均功耗≤85W/㎡；</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11.防护等级（户内）：产品符合IP3X；盐雾试验达到盐雾10级要求；</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12.寿命≥120000h，平均失效间隔工作时间（MTBF）≥100000h，平均故障恢复时间（MTTR）≤2分钟；</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13.电流增益调节级别≥8位，电流增益调节范围1%-199%；</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14.支持单点亮度色度校正功能，校正后亮度损失&lt;7%，屏体正面为亚黑处理，反光率≤2%；</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15.支持自动检测长时间没有使用屏体，将启动除湿模式30min,使屏体从10%-100%逐步显示，提升产品稳定性；</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16.LED显示屏画面延迟≤500ns，画面信噪比≥60dB；亮度衰减率≤8%；</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17.按GB20943-2013附录A的规定进行，在室温下LED显示屏供电电源的功率因数不小于95%，转换效率不小于86%；</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18.支持脱机无信号下显示预制画面信息、画面轮询，永不黑屏；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19.具有模组加密功能，防止网络恶意入侵。</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注：以上参数需提供具有CNAS、CMA及ilac-MRA标识的第三方将测报告复印件并加盖投标人公章。</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（二）视频处理器</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1.六路千兆网口输出；总带载390万像素点，单网口带载65万像素点，整机最宽8192像素，最高3840像素；</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2.最大输入分辨率：3840x2160@60hz；</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3.丰富的输入接口： DVIx1、HDMIx2、DPx1、VGAx1、AUDIOx1；</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4.支持外置独立音频输入与输出,音量大小调节；</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5.支持4画面同时显示（需要提供具有ilac-MRA、CNAS、CMA认证标识的第三方功能检测报告）；</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6.支持创建8个用户场景作为模板保存可直接调用（需要提供具有ilac-MRA、CNAS、CMA认证标识的第三方功能检测报告）；</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7.支持输出画面亮度、对比度、色温、饱和度、锐度等进行快速调整（需要提供具有ilac-MRA、CNAS、CMA认证标识的第三方功能检测报告）</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8.支持多画面无缝切换，单图层无缝切换；</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9.支持一键黑屏；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10.支持自定义输出分辨率，自定义输入EDID；</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11.支持测试模式，无需接入信号源，输出红绿蓝白等输出画面（需要提供具有ilac-MRA、CNAS、CMA认证标识的第三方功能检测报告）；</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12.支持上位机软件监控发送卡运行参数及状态（需要提供具有ilac-MRA、CNAS、CMA认证标识的第三方功能检测报告）；</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13.支持数据巡检，SD卡自动巡检，大屏更换接收卡后，免调试，工程文件“一键”巡检修复数据（需要提供具有ilac-MRA、CNAS、CMA认证标识的第三方功能检测报告）；</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14.支持云平台管理（需要提供具有ilac-MRA、CNAS、CMA认证标识的第三方功能检测报告）；</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15.支持RS232串口接中控；</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16.支持按键锁。</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（三）高清摄像机</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1.采用1/2.9英寸207万像素高品质图像传感器，最大分辨率可达1920×1080，输出帧率高达30帧/秒，呈现清晰逼真的高清视频，生动地展现人物的表情和动作；</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2.具有10倍光学变倍镜头；</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3.注重图像的智能处理，提供自动白平衡（AWB）、自动曝光（AE)、自动聚焦（AF)功能，完全自动适应环境，实现最佳的图像效果，达到完美三位一体图像自动调节；</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4.低噪声CMOS有效地保证了摄像机视频的超高信噪比。采用先进的2D、3D降噪技术，进一步降低了噪声，同时又能确保图像清晰度；</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5.RS485、RS232；RS232支持级联，方便工程安装使用；</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6.支持VISCA、PELCO-D、PELCO-P协议，支持自动识别协议；</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7.采用高精度步进电机以及精密电机驱动控制器，确保云台运行平稳，并且无噪声；</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8.支持低功耗休眠/唤醒，休眠时功耗低于400mw；</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9.支持≥255个预置位(遥控器设置调用为10个)。</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（四）全场景智慧平板</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1.外观尺吋 2236mm×1286mm×88mm，阳极氧化流砂锖窄金属边框设计；显示尺寸：100英寸；分辨率：3840×2160，采用A+级屏幕，4K 144Hz原生屏，宽度传输48Gbps；响应时间≤8ms，支持低蓝光护眼；屏占比≥96%；</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2.显示比例：16:9；可视角度：≥178°；亮度：≥500cd/m²；对比度：≥5000:1。色域BT709≥130%，95% DCI-P3电影级广色域；屏幕色深≥10bit；灰阶分辨等级256级；第四代AI-SR超解像技术，AI-NR全局自降噪技术；高色彩精准度ΔE≤1.0，AI-PQ对象感知技术，根据显示内容实现画质自适应优化调节；Care+舒适视觉技术，自动控制亮度、色温、低蓝光；</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3.采用国产画质芯片；DLED背光源，ULED全阵列动态背光显示，384分区独立控光，；采用直流调光无频闪技术；支持HDR10+；支持MEMC；支持ALLM自动低延迟；</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4.整机预置安卓系统版本11.0，64位CPU采用64位4核A73，GPU采用G52，支持4K 60FPS编解码能力，系统内存4GB，存储容量128GB；</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5.内置2.1扬声系统：功率为15W*2（全频）+20W*1（1.3L独立音腔超潜低音炮），拥有3个发音单元，支持DTS X+Dolby MS12双音频解码，支持Dolby Atmos杜比全景声；支持Hi-Sound PRO技术，通过空间感知和内容感知，构建AI虚拟场景模型，自适应匹配空间场景下的音效方案；</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6.内置双WiFi和蓝牙：上网WiFi6*1(用途Station+P2P，支持IPV6)、投屏AP热点WiFi5*1（用途AP，支持IPV6,）；整机支持蓝牙5.1；</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7.支持H.323和SIP标准协议，并支持该协议下的安全加密，远程会议支持实时中英文字幕翻译；</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8.支持同时连接传屏宝数量≥16个，同时投屏4个，画面可分别投屏到同一屏幕上，通过按键切换传输不同外部电脑的投屏内容；支持全屏/二/三/四分屏。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（五）视频会议终端主机</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1.采用分体式结构，嵌入式架构，非PC、非工控机架构。</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2.采用国产自主的操作系统及编解码处理芯片。</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3.终端主要元器件须国产自主，至少包括视音频编解码单元、CPU处理单元、可编程逻辑芯片、电源模块、时钟芯片、视频输入输出芯片等，提供第三方权威机构检测报告证明。</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4.支持64Kbps-8Mbps呼叫带宽。</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5.支持ITU-T H.323、IETF SIP协议，具有良好的兼容性和开放性。</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6.支持H.264 BP、H.264 HP、H.265等图像编码协议。</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7.支持4K30fps、1080p60fps、1080p30fps、720p60 fps、720p30fps等分辨率。</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8.支持G.711、G.722、G.722.1C、G.729A、AAC-LD、Opus等音频协议，支持双声道立体声功能。</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9.支持外接数字阵列麦克风，麦克风拾音距离≥6米。</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10.支持H.239和BFCP双流协议。</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11.支持≥3路高清视频输入接口、≥2路高清视频输出接口。</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12.支持≥6路音频输入接口、≥5路音频输出接口，至少具备卡侬头、RCA等音频接口。</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13.支持摄像头一线连接终端，实现同时传输视频信号、控制信号和摄像头供电，提供第三方权威机构检测报告证明。</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14.支持高清视频信号远距离传输，通过以太网线无需借助额外设备，1080P60fps高清信号传输距离不少于120米，提供第三方权威机构检测报告证明。</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15.支持不少于2个10M/100M/1000M自适应网口。</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16.支持30%网络丢包时，语音清晰连续，视频清晰流畅，无卡顿、无马赛克，提供第三方权威机构检测报告证明。</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17.支持1Mbps会议带宽下，实现4K30帧图像格式编解码；支持512Kbps会议带宽下，实现1080P60帧图像格式编解码；384Kbps会议带宽下，实现1080P30帧图像格式编解码；256Kbps会议带宽下，实现720P30帧图像格式编解码，提供第三方权威机构检测报告证明。</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18.支持IP网络升降速，可根据IP网络带宽的变化，自动调整会议中视音频带宽，保证图像语音质量良好。</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19．视频画面经过本地采集、编码、网络传输、解码、显示输出后整体时延不超过120ms，提供第三方权威机构检测报告证明。</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20.支持IPv4和IPv6双协议栈。</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21.支持单屏三显功能，在一个显示设备上显示远端图像、本端图像及双流图像。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22.支持终端上电开机后，自动调用摄像机的预置位，无须人工干预。</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23．支持断点续传功能，终端升级过程中发生网络中断、断电重启，恢复后可断点续传，避免升级失败。</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24.为保障产品服务质量，所投产品需提供原厂售后服务承诺函。</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25.该设备需接入现有的专用视频会议系统。</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（六）视频会议摄像机</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1.支持≥851万像素1/2.5英寸CMOS成像芯片，支持1080P60fps、1080P30fps等视频输出格式；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2.支持12倍光学变焦；</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3.水平视角80°、水平转动范围：+/-110°，垂直转动范围：+/- 30°；</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4.支持图像倒转功能，方便摄像机安装在天花板上；</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5.支持红外透传功能；</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6.支持自动白平衡（AWB）、自动曝光（AE）、自动聚焦（AF）功能；</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7.为保证兼容性，需要与会议终端为同品牌。</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（七）会议音响</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1.系统类型：≤8英寸，2分频；</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2.额定功率：≥150W；</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3.峰值功率：≥480W；</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4.额定阻抗：8Ω；</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5.频率范围(-10dB)：50Hz-20KHz；</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6.频率响应(±3dB)：85Hz-20KHz；</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7.灵敏度(1w/1m)1：≥95dB；</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8.最大声压级输出：≥122dB(峰值≥128dB)；</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9.覆盖角：70°×100°(H×V)；</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★注：提供具有CMA、CNAS认证标识的检验报告复印件并加盖供应商公章。</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（八）功率放大器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1.≥双通道专业功放，经典变压器供电；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2.输出功率：≥2*</w:t>
      </w:r>
      <w:r>
        <w:rPr>
          <w:rFonts w:hint="eastAsia" w:ascii="Times New Roman" w:hAnsi="Times New Roman" w:cs="Times New Roman" w:eastAsiaTheme="minorEastAsia"/>
          <w:b w:val="0"/>
          <w:bCs/>
          <w:color w:val="auto"/>
          <w:sz w:val="24"/>
          <w:szCs w:val="24"/>
          <w:highlight w:val="none"/>
          <w:shd w:val="clear" w:color="auto" w:fill="auto"/>
          <w:lang w:val="en-US" w:eastAsia="zh-CN"/>
        </w:rPr>
        <w:t>250</w:t>
      </w:r>
      <w:r>
        <w:rPr>
          <w:rFonts w:hint="default" w:ascii="Times New Roman" w:hAnsi="Times New Roman" w:cs="Times New Roman" w:eastAsiaTheme="minorEastAsia"/>
          <w:b w:val="0"/>
          <w:bCs/>
          <w:color w:val="auto"/>
          <w:sz w:val="24"/>
          <w:szCs w:val="24"/>
          <w:highlight w:val="none"/>
          <w:shd w:val="clear" w:color="auto" w:fill="auto"/>
          <w:lang w:eastAsia="zh-CN"/>
        </w:rPr>
        <w:t>W/8Ω，≥2*</w:t>
      </w:r>
      <w:r>
        <w:rPr>
          <w:rFonts w:hint="eastAsia" w:ascii="Times New Roman" w:hAnsi="Times New Roman" w:cs="Times New Roman" w:eastAsiaTheme="minorEastAsia"/>
          <w:b w:val="0"/>
          <w:bCs/>
          <w:color w:val="auto"/>
          <w:sz w:val="24"/>
          <w:szCs w:val="24"/>
          <w:highlight w:val="none"/>
          <w:shd w:val="clear" w:color="auto" w:fill="auto"/>
          <w:lang w:val="en-US" w:eastAsia="zh-CN"/>
        </w:rPr>
        <w:t>350</w:t>
      </w:r>
      <w:r>
        <w:rPr>
          <w:rFonts w:hint="default" w:ascii="Times New Roman" w:hAnsi="Times New Roman" w:cs="Times New Roman" w:eastAsiaTheme="minorEastAsia"/>
          <w:b w:val="0"/>
          <w:bCs/>
          <w:color w:val="auto"/>
          <w:sz w:val="24"/>
          <w:szCs w:val="24"/>
          <w:highlight w:val="none"/>
          <w:shd w:val="clear" w:color="auto" w:fill="auto"/>
          <w:lang w:eastAsia="zh-CN"/>
        </w:rPr>
        <w:t>W/4Ω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3.灵敏度：0.775/1.0/1.4V；</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4.总谐波失真：&lt;0.5%</w:t>
      </w:r>
      <w:r>
        <w:rPr>
          <w:rFonts w:hint="eastAsia" w:ascii="Times New Roman" w:hAnsi="Times New Roman" w:cs="Times New Roman" w:eastAsiaTheme="minorEastAsia"/>
          <w:b w:val="0"/>
          <w:bCs/>
          <w:color w:val="auto"/>
          <w:sz w:val="24"/>
          <w:szCs w:val="24"/>
          <w:highlight w:val="none"/>
          <w:shd w:val="clear" w:color="auto" w:fill="auto"/>
          <w:lang w:eastAsia="zh-CN"/>
        </w:rPr>
        <w:t>，</w:t>
      </w:r>
      <w:r>
        <w:rPr>
          <w:rFonts w:hint="default" w:ascii="Times New Roman" w:hAnsi="Times New Roman" w:cs="Times New Roman" w:eastAsiaTheme="minorEastAsia"/>
          <w:b w:val="0"/>
          <w:bCs/>
          <w:color w:val="auto"/>
          <w:sz w:val="24"/>
          <w:szCs w:val="24"/>
          <w:highlight w:val="none"/>
          <w:shd w:val="clear" w:color="auto" w:fill="auto"/>
          <w:lang w:eastAsia="zh-CN"/>
        </w:rPr>
        <w:t>1KHz，8Ω；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5.频率响应：20Hz-20KHz</w:t>
      </w:r>
      <w:r>
        <w:rPr>
          <w:rFonts w:hint="eastAsia" w:ascii="Times New Roman" w:hAnsi="Times New Roman" w:cs="Times New Roman" w:eastAsiaTheme="minorEastAsia"/>
          <w:b w:val="0"/>
          <w:bCs/>
          <w:color w:val="auto"/>
          <w:sz w:val="24"/>
          <w:szCs w:val="24"/>
          <w:highlight w:val="none"/>
          <w:shd w:val="clear" w:color="auto" w:fill="auto"/>
          <w:lang w:eastAsia="zh-CN"/>
        </w:rPr>
        <w:t>，</w:t>
      </w:r>
      <w:r>
        <w:rPr>
          <w:rFonts w:hint="default" w:ascii="Times New Roman" w:hAnsi="Times New Roman" w:cs="Times New Roman" w:eastAsiaTheme="minorEastAsia"/>
          <w:b w:val="0"/>
          <w:bCs/>
          <w:color w:val="auto"/>
          <w:sz w:val="24"/>
          <w:szCs w:val="24"/>
          <w:highlight w:val="none"/>
          <w:shd w:val="clear" w:color="auto" w:fill="auto"/>
          <w:lang w:eastAsia="zh-CN"/>
        </w:rPr>
        <w:t>±0.5dB；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6.阻尼系数：≥250；</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7.信躁比：</w:t>
      </w:r>
      <w:r>
        <w:rPr>
          <w:rFonts w:hint="eastAsia" w:ascii="Times New Roman" w:hAnsi="Times New Roman" w:cs="Times New Roman" w:eastAsiaTheme="minorEastAsia"/>
          <w:b w:val="0"/>
          <w:bCs/>
          <w:color w:val="auto"/>
          <w:sz w:val="24"/>
          <w:szCs w:val="24"/>
          <w:highlight w:val="none"/>
          <w:shd w:val="clear" w:color="auto" w:fill="auto"/>
          <w:lang w:val="en-US" w:eastAsia="zh-CN"/>
        </w:rPr>
        <w:t>105</w:t>
      </w:r>
      <w:r>
        <w:rPr>
          <w:rFonts w:hint="default" w:ascii="Times New Roman" w:hAnsi="Times New Roman" w:cs="Times New Roman" w:eastAsiaTheme="minorEastAsia"/>
          <w:b w:val="0"/>
          <w:bCs/>
          <w:color w:val="auto"/>
          <w:sz w:val="24"/>
          <w:szCs w:val="24"/>
          <w:highlight w:val="none"/>
          <w:shd w:val="clear" w:color="auto" w:fill="auto"/>
          <w:lang w:eastAsia="zh-CN"/>
        </w:rPr>
        <w:t>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val="en-US" w:eastAsia="zh-CN"/>
        </w:rPr>
      </w:pPr>
      <w:r>
        <w:rPr>
          <w:rFonts w:hint="eastAsia" w:ascii="Times New Roman" w:hAnsi="Times New Roman" w:cs="Times New Roman" w:eastAsiaTheme="minorEastAsia"/>
          <w:b w:val="0"/>
          <w:bCs/>
          <w:color w:val="auto"/>
          <w:sz w:val="24"/>
          <w:szCs w:val="24"/>
          <w:highlight w:val="none"/>
          <w:shd w:val="clear" w:color="auto" w:fill="auto"/>
          <w:lang w:val="en-US" w:eastAsia="zh-CN"/>
        </w:rPr>
        <w:t xml:space="preserve">8.桥接功率：900W/8Ω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val="en-US" w:eastAsia="zh-CN"/>
        </w:rPr>
      </w:pPr>
      <w:r>
        <w:rPr>
          <w:rFonts w:hint="eastAsia" w:ascii="Times New Roman" w:hAnsi="Times New Roman" w:cs="Times New Roman" w:eastAsiaTheme="minorEastAsia"/>
          <w:b w:val="0"/>
          <w:bCs/>
          <w:color w:val="auto"/>
          <w:sz w:val="24"/>
          <w:szCs w:val="24"/>
          <w:highlight w:val="none"/>
          <w:shd w:val="clear" w:color="auto" w:fill="auto"/>
          <w:lang w:val="en-US" w:eastAsia="zh-CN"/>
        </w:rPr>
        <w:t>9.输入灵敏度：500MV</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val="en-US" w:eastAsia="zh-CN"/>
        </w:rPr>
      </w:pPr>
      <w:r>
        <w:rPr>
          <w:rFonts w:hint="eastAsia" w:ascii="Times New Roman" w:hAnsi="Times New Roman" w:cs="Times New Roman" w:eastAsiaTheme="minorEastAsia"/>
          <w:b w:val="0"/>
          <w:bCs/>
          <w:color w:val="auto"/>
          <w:sz w:val="24"/>
          <w:szCs w:val="24"/>
          <w:highlight w:val="none"/>
          <w:shd w:val="clear" w:color="auto" w:fill="auto"/>
          <w:lang w:val="en-US" w:eastAsia="zh-CN"/>
        </w:rPr>
        <w:t>10.输入阻抗：20KΩ10KΩ</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★提供具有CMA、CNAS认证标识的检验报告复印件并加盖供应商公章。</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★提供中国节能环保产品证书。</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（九）8路电源时序器</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1.≥2寸液晶彩屏，微电脑控制，可扩展联机工作；</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2.内置时钟芯片，支持自定义编程，定时自动开关机；</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3.输出通道延时可编辑，可设定≥8组场景数据；</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4.单路独立开关功能：支持面板独立控制；</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5.具有RS232、RS485接口和LAN网口，支持中控控制功能；</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6.支持手机APP控制，支持PC上位机软件操作；</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★提供具有CMA、CNAS认证标识的检验报告复印件并加盖供应商公章。</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（十）8路调音台</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1.≥6路Mic输入接口兼容≥6路线路输入接口，带48V幻象电源；</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2.≥2组立体声输入，可连接立体声设备；</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3.每路单声道输入通道设有≥3段EQ（立体声≥两段），内置≥7段立体声均衡器，设有峰值指示灯；</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4.≥2组立体声主输出、≥2组辅助输出、≥2编组输出、≥1组立体声监听输出、≥1路返回、≥1路耳机监听输出、≥1组CD/Tape输出；</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5.内置≥24位DSP效果器；</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6.蓝牙、MP3、大屏播放器、USB带声卡功能、USB电脑录音、U盘录音直录；</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7.麦克风输入：≥6路卡侬/6.35复用接口；</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8.线路输入：≥6路单插单声道/立体声自动切换混合接口；</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9.立体声输入：≥2组；</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10.CD/Tape输入：≥1路CD/TAPE RCA立体声输入接口；</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11.输出通路：≥2组立体声主输出、2组辅助输出、2编组输出、1组立体声监听输出、1路耳机监听输出、1组CD/Tape输出；</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12.效果器：≥24位DSP效果器（包括人声、小房子、大厅、回声、回声+回响、盘子、声乐板、合唱GTR，旋转GTR、颤音GTR类型）。</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（十一）无线话筒（桌面式）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1.机箱规格：EIA 标准IU；</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2.通道组数：≥二通道；</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3.频率响应：55Hz～16KHz ± 3dB ；</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4.频率范围: 615MHz-665MHz；</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5.调制方式: FM；</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6.信道数目: ≥200个；</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7.信道间隔: 50KHZ；</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8.频率稳定度: ±0.005%；</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9.动态范围: 100db；</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10.最大偏移: ±45KHZ；</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11.音频频率响应: 40HZ-18KHZ(±2db)；</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12.综合信噪比: &gt;105db；</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13.综合失真：≤0.5%；</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14.工作环境温度：-10℃~+50℃；</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15.工作有效距离：≥150米以上（空阔地方）；</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 xml:space="preserve">16.振荡方式：PLL相位锁定频率合成；   </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17.输出插座：≥1路MIXOUT6.35混合输出  ≥2路BALOUT独立输出；</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18.输入电压：DC12—DC15V   1000mA；</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★提供具有CMA、CNAS认证标识的检验报告复印件并加盖供应商公章。</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（十二）设备机柜</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规格:600mm*1000mm*600mm</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left"/>
        <w:textAlignment w:val="auto"/>
        <w:rPr>
          <w:rFonts w:hint="default" w:ascii="Times New Roman" w:hAnsi="Times New Roman" w:eastAsia="方正黑体_GBK" w:cs="Times New Roman"/>
          <w:bCs/>
          <w:kern w:val="0"/>
          <w:sz w:val="24"/>
          <w:szCs w:val="24"/>
          <w:lang w:val="en-US" w:eastAsia="zh-CN" w:bidi="ar"/>
        </w:rPr>
      </w:pPr>
      <w:r>
        <w:rPr>
          <w:rFonts w:hint="default" w:ascii="Times New Roman" w:hAnsi="Times New Roman" w:eastAsia="方正黑体_GBK" w:cs="Times New Roman"/>
          <w:bCs/>
          <w:kern w:val="0"/>
          <w:sz w:val="24"/>
          <w:szCs w:val="24"/>
          <w:lang w:val="en-US" w:eastAsia="zh-CN" w:bidi="ar"/>
        </w:rPr>
        <w:t>二、合同价款及支付方式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本合同设备及相关技术服务总金额为人民币</w:t>
      </w:r>
      <w:r>
        <w:rPr>
          <w:rFonts w:hint="default" w:ascii="Times New Roman" w:hAnsi="Times New Roman" w:cs="Times New Roman" w:eastAsiaTheme="minorEastAsia"/>
          <w:b w:val="0"/>
          <w:bCs w:val="0"/>
          <w:color w:val="auto"/>
          <w:kern w:val="0"/>
          <w:sz w:val="24"/>
          <w:szCs w:val="24"/>
          <w:u w:val="single"/>
          <w:lang w:val="en-US" w:eastAsia="zh-CN"/>
        </w:rPr>
        <w:t xml:space="preserve">        </w:t>
      </w:r>
      <w:r>
        <w:rPr>
          <w:rFonts w:hint="default" w:ascii="Times New Roman" w:hAnsi="Times New Roman" w:cs="Times New Roman" w:eastAsiaTheme="minorEastAsia"/>
          <w:b w:val="0"/>
          <w:bCs w:val="0"/>
          <w:color w:val="auto"/>
          <w:kern w:val="0"/>
          <w:sz w:val="24"/>
          <w:szCs w:val="24"/>
          <w:lang w:val="en-US" w:eastAsia="zh-CN"/>
        </w:rPr>
        <w:t>元，大写</w:t>
      </w:r>
      <w:r>
        <w:rPr>
          <w:rFonts w:hint="default" w:ascii="Times New Roman" w:hAnsi="Times New Roman" w:cs="Times New Roman" w:eastAsiaTheme="minorEastAsia"/>
          <w:b w:val="0"/>
          <w:bCs w:val="0"/>
          <w:color w:val="auto"/>
          <w:kern w:val="0"/>
          <w:sz w:val="24"/>
          <w:szCs w:val="24"/>
          <w:u w:val="single"/>
          <w:lang w:val="en-US" w:eastAsia="zh-CN"/>
        </w:rPr>
        <w:t xml:space="preserve">：    </w:t>
      </w:r>
      <w:r>
        <w:rPr>
          <w:rFonts w:hint="default" w:ascii="Times New Roman" w:hAnsi="Times New Roman" w:cs="Times New Roman" w:eastAsiaTheme="minorEastAsia"/>
          <w:b w:val="0"/>
          <w:bCs w:val="0"/>
          <w:color w:val="auto"/>
          <w:kern w:val="0"/>
          <w:sz w:val="24"/>
          <w:szCs w:val="24"/>
          <w:lang w:val="en-US" w:eastAsia="zh-CN"/>
        </w:rPr>
        <w:t>元整。以上总金额包括但不限于乙方提供商品的现场安装及调试费、技术培训费、保修期内维修和技术服务费等完成工作及后续服务所需一切费用、合理利润及相关税费。</w:t>
      </w:r>
    </w:p>
    <w:p>
      <w:pPr>
        <w:spacing w:line="400" w:lineRule="exact"/>
        <w:ind w:firstLine="480" w:firstLineChars="200"/>
        <w:rPr>
          <w:rFonts w:hint="default" w:ascii="Times New Roman" w:hAnsi="Times New Roman" w:cs="Times New Roman" w:eastAsiaTheme="minorEastAsia"/>
          <w:b w:val="0"/>
          <w:bCs w:val="0"/>
          <w:color w:val="auto"/>
          <w:kern w:val="0"/>
          <w:sz w:val="24"/>
          <w:szCs w:val="24"/>
          <w:lang w:val="en-US" w:eastAsia="zh-CN"/>
        </w:rPr>
      </w:pPr>
      <w:r>
        <w:rPr>
          <w:rFonts w:hint="eastAsia" w:ascii="Times New Roman" w:hAnsi="Times New Roman" w:cs="Times New Roman" w:eastAsiaTheme="minorEastAsia"/>
          <w:b w:val="0"/>
          <w:bCs w:val="0"/>
          <w:color w:val="auto"/>
          <w:kern w:val="0"/>
          <w:sz w:val="24"/>
          <w:szCs w:val="24"/>
          <w:lang w:val="en-US" w:eastAsia="zh-CN"/>
        </w:rPr>
        <w:t>履约保证金为人民币</w:t>
      </w:r>
      <w:r>
        <w:rPr>
          <w:rFonts w:hint="default" w:ascii="Times New Roman" w:hAnsi="Times New Roman" w:cs="Times New Roman" w:eastAsiaTheme="minorEastAsia"/>
          <w:b w:val="0"/>
          <w:bCs w:val="0"/>
          <w:color w:val="auto"/>
          <w:kern w:val="0"/>
          <w:sz w:val="24"/>
          <w:szCs w:val="24"/>
          <w:u w:val="single"/>
          <w:lang w:val="en-US" w:eastAsia="zh-CN"/>
        </w:rPr>
        <w:t xml:space="preserve">        </w:t>
      </w:r>
      <w:r>
        <w:rPr>
          <w:rFonts w:hint="default" w:ascii="Times New Roman" w:hAnsi="Times New Roman" w:cs="Times New Roman" w:eastAsiaTheme="minorEastAsia"/>
          <w:b w:val="0"/>
          <w:bCs w:val="0"/>
          <w:color w:val="auto"/>
          <w:kern w:val="0"/>
          <w:sz w:val="24"/>
          <w:szCs w:val="24"/>
          <w:lang w:val="en-US" w:eastAsia="zh-CN"/>
        </w:rPr>
        <w:t>元，大写</w:t>
      </w:r>
      <w:r>
        <w:rPr>
          <w:rFonts w:hint="default" w:ascii="Times New Roman" w:hAnsi="Times New Roman" w:cs="Times New Roman" w:eastAsiaTheme="minorEastAsia"/>
          <w:b w:val="0"/>
          <w:bCs w:val="0"/>
          <w:color w:val="auto"/>
          <w:kern w:val="0"/>
          <w:sz w:val="24"/>
          <w:szCs w:val="24"/>
          <w:u w:val="single"/>
          <w:lang w:val="en-US" w:eastAsia="zh-CN"/>
        </w:rPr>
        <w:t xml:space="preserve">：    </w:t>
      </w:r>
      <w:r>
        <w:rPr>
          <w:rFonts w:hint="default" w:ascii="Times New Roman" w:hAnsi="Times New Roman" w:cs="Times New Roman" w:eastAsiaTheme="minorEastAsia"/>
          <w:b w:val="0"/>
          <w:bCs w:val="0"/>
          <w:color w:val="auto"/>
          <w:kern w:val="0"/>
          <w:sz w:val="24"/>
          <w:szCs w:val="24"/>
          <w:lang w:val="en-US" w:eastAsia="zh-CN"/>
        </w:rPr>
        <w:t>元整。</w:t>
      </w:r>
      <w:r>
        <w:rPr>
          <w:rFonts w:hint="eastAsia" w:ascii="Times New Roman" w:hAnsi="Times New Roman" w:cs="Times New Roman" w:eastAsiaTheme="minorEastAsia"/>
          <w:color w:val="auto"/>
          <w:sz w:val="24"/>
          <w:szCs w:val="24"/>
          <w:highlight w:val="none"/>
          <w:shd w:val="clear" w:color="auto" w:fill="auto"/>
          <w:lang w:val="en-US" w:eastAsia="zh-CN"/>
        </w:rPr>
        <w:t>履约担保的期限：自提交履约担保之日起至合同设备安装验收合格之日止。履约担保的退还时间：设备安装验收合格后28日内按相关规定一次性无息退还。履约过程中，中选人不能履约或不能完全履约，履约保证金不予退还。</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（一）甲方所购的商品，乙方严格按照甲方提供的配置清单及数量供货，</w:t>
      </w:r>
      <w:r>
        <w:rPr>
          <w:rFonts w:hint="default" w:ascii="Times New Roman" w:hAnsi="Times New Roman" w:cs="Times New Roman" w:eastAsiaTheme="minorEastAsia"/>
          <w:color w:val="auto"/>
          <w:kern w:val="2"/>
          <w:sz w:val="24"/>
          <w:szCs w:val="24"/>
          <w:highlight w:val="none"/>
          <w:shd w:val="clear" w:color="auto" w:fill="auto"/>
          <w:lang w:val="en-US" w:eastAsia="zh-CN" w:bidi="ar-SA"/>
        </w:rPr>
        <w:t>设备安装调试完毕经比选人验收合格后30日内支付至合同结算金额的97%，余3%待质保期满后，中选供应商向比选人提交付款申请后15日内一次性付清。</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（二）乙方按结算价格如实开具增值税普通发票给甲方，经甲方核实无误后，在乙方无违约行为的情况下，15个工作日内以银行转账方式将货款汇入乙方发票上面的结算账户。</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（三）支付方式：网银转账</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乙方账户名：</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开户行：</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账号：</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left"/>
        <w:textAlignment w:val="auto"/>
        <w:rPr>
          <w:rFonts w:hint="default" w:ascii="Times New Roman" w:hAnsi="Times New Roman" w:eastAsia="方正黑体_GBK" w:cs="Times New Roman"/>
          <w:bCs/>
          <w:kern w:val="0"/>
          <w:sz w:val="24"/>
          <w:szCs w:val="24"/>
          <w:lang w:val="en-US" w:eastAsia="zh-CN" w:bidi="ar"/>
        </w:rPr>
      </w:pPr>
      <w:r>
        <w:rPr>
          <w:rFonts w:hint="default" w:ascii="Times New Roman" w:hAnsi="Times New Roman" w:eastAsia="方正黑体_GBK" w:cs="Times New Roman"/>
          <w:bCs/>
          <w:kern w:val="0"/>
          <w:sz w:val="24"/>
          <w:szCs w:val="24"/>
          <w:lang w:val="en-US" w:eastAsia="zh-CN" w:bidi="ar"/>
        </w:rPr>
        <w:t>三、安装要求</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乙方需在合同签订之按甲方要求送货到甲方指定交货地点并完成安装调试。送货往返途中和安装全过程，一切安全责任、运输、上下车等费用、人工等均由乙方自行承担。</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left"/>
        <w:textAlignment w:val="auto"/>
        <w:rPr>
          <w:rFonts w:hint="default" w:ascii="Times New Roman" w:hAnsi="Times New Roman" w:eastAsia="方正黑体_GBK" w:cs="Times New Roman"/>
          <w:bCs/>
          <w:kern w:val="0"/>
          <w:sz w:val="24"/>
          <w:szCs w:val="24"/>
          <w:lang w:val="en-US" w:eastAsia="zh-CN" w:bidi="ar"/>
        </w:rPr>
      </w:pPr>
      <w:r>
        <w:rPr>
          <w:rFonts w:hint="default" w:ascii="Times New Roman" w:hAnsi="Times New Roman" w:eastAsia="方正黑体_GBK" w:cs="Times New Roman"/>
          <w:bCs/>
          <w:kern w:val="0"/>
          <w:sz w:val="24"/>
          <w:szCs w:val="24"/>
          <w:lang w:val="en-US" w:eastAsia="zh-CN" w:bidi="ar"/>
        </w:rPr>
        <w:t>四、质量及验收</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（一）乙方应保证所提供的商品是全新、未使用过的原装合格正品，并完全符合生产厂家或国家规定的质量规格和性能要求。</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（二）乙方所提供的商品的质保期按照生产厂家标准，其质保期应不低于国家“三包”等有关法律法规规定的标准期限。</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甲乙双方当面验收商品的品牌、规格型号、技术参数、数量、外观质量，包装须完整无损，且符合国家相关质量标准及合同约定的配置要求。甲方代表核对无误后（外观检视），在乙方开具的销售货物清单上签字确认已收货，该清单作为结账依据附件。</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（三）验收时，双方约定遵循以下要求：</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1.“装箱单”包括但不限于质量合格证书、保修证书、产品使用说明书及其他应随产品一同装箱的技术资料。</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2.由乙方负责安装和调试，运行正常后交付给甲方使用。乙方应当说明商品的配置，开箱检验，保证商品符合产品使用说明明示的配置和产品质量状况，当面向甲方交验商品。</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3.核对商品商标、型号和编号。</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4.介绍商品的使用、维护和保养方法以及三包方式。</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Cs/>
          <w:kern w:val="0"/>
          <w:sz w:val="24"/>
          <w:szCs w:val="24"/>
          <w:lang w:val="en-US" w:eastAsia="zh-CN" w:bidi="ar"/>
        </w:rPr>
      </w:pPr>
      <w:r>
        <w:rPr>
          <w:rFonts w:hint="default" w:ascii="Times New Roman" w:hAnsi="Times New Roman" w:cs="Times New Roman" w:eastAsiaTheme="minorEastAsia"/>
          <w:b w:val="0"/>
          <w:bCs w:val="0"/>
          <w:color w:val="auto"/>
          <w:kern w:val="0"/>
          <w:sz w:val="24"/>
          <w:szCs w:val="24"/>
          <w:lang w:val="en-US" w:eastAsia="zh-CN"/>
        </w:rPr>
        <w:t>5.明示三包有效期，提供三包凭证、有效发货票、合格证和使用说明</w:t>
      </w:r>
      <w:r>
        <w:rPr>
          <w:rFonts w:hint="default" w:ascii="Times New Roman" w:hAnsi="Times New Roman" w:cs="Times New Roman" w:eastAsiaTheme="minorEastAsia"/>
          <w:bCs w:val="0"/>
          <w:kern w:val="0"/>
          <w:sz w:val="24"/>
          <w:szCs w:val="24"/>
          <w:lang w:val="en-US" w:eastAsia="zh-CN" w:bidi="ar"/>
        </w:rPr>
        <w:t>书等。</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left"/>
        <w:textAlignment w:val="auto"/>
        <w:rPr>
          <w:rFonts w:hint="default" w:ascii="Times New Roman" w:hAnsi="Times New Roman" w:eastAsia="方正黑体_GBK" w:cs="Times New Roman"/>
          <w:bCs/>
          <w:kern w:val="0"/>
          <w:sz w:val="24"/>
          <w:szCs w:val="24"/>
          <w:lang w:val="en-US" w:eastAsia="zh-CN" w:bidi="ar"/>
        </w:rPr>
      </w:pPr>
      <w:r>
        <w:rPr>
          <w:rFonts w:hint="default" w:ascii="Times New Roman" w:hAnsi="Times New Roman" w:eastAsia="方正黑体_GBK" w:cs="Times New Roman"/>
          <w:bCs/>
          <w:kern w:val="0"/>
          <w:sz w:val="24"/>
          <w:szCs w:val="24"/>
          <w:lang w:val="en-US" w:eastAsia="zh-CN" w:bidi="ar"/>
        </w:rPr>
        <w:t>五、双方的权利和义务</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（一）甲方的权利和义务　</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1.甲方有对商品的采购建议和调整的权利，并有对乙方工作的监督权。发现乙方供货存在假冒伪劣等违背法律法规或者本合同约定的行为，甲方有权单方解除合同，追究违约责任和赔偿损失。</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2.甲方有按时交付货款的义务。</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（二）乙方的权利和义务</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1.乙方保证按照配置清单向甲方供货，如因乙方单方问题而出现品牌、型号、技术参数、品质等项目不符合合同约定的，应甲方的要求由乙方承担调换或退货责任，并承担由此产生的费用及违约责任。</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2.乙方应当按照双方约定，确保本合同中的安装、维护工作的及时到位。</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left"/>
        <w:textAlignment w:val="auto"/>
        <w:rPr>
          <w:rFonts w:hint="default" w:ascii="Times New Roman" w:hAnsi="Times New Roman" w:eastAsia="方正黑体_GBK" w:cs="Times New Roman"/>
          <w:bCs/>
          <w:kern w:val="0"/>
          <w:sz w:val="24"/>
          <w:szCs w:val="24"/>
          <w:lang w:val="en-US" w:eastAsia="zh-CN" w:bidi="ar"/>
        </w:rPr>
      </w:pPr>
      <w:r>
        <w:rPr>
          <w:rFonts w:hint="default" w:ascii="Times New Roman" w:hAnsi="Times New Roman" w:eastAsia="方正黑体_GBK" w:cs="Times New Roman"/>
          <w:bCs/>
          <w:kern w:val="0"/>
          <w:sz w:val="24"/>
          <w:szCs w:val="24"/>
          <w:lang w:val="en-US" w:eastAsia="zh-CN" w:bidi="ar"/>
        </w:rPr>
        <w:t>六、安装、售后服务及质保</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一）由乙方负责安装调试，并提供质量保障服务。质保期内的商品如出现质量问题由乙方按照三包标准执行，负责免费更换、保修服务等相关售后事宜。如因甲方人为因素导致的故障，乙方可以提供有偿维修服务，维修费用由甲方承担。</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（二）售后服务承诺：乙方应保证在质保期内按照生产厂家的服务标准向甲方提供售后服务。</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1.乙方向甲方提供的商品（产品）经验收合格交付使用后，在质保期内出现质量问题时，乙方应及时响应采取补救服务措施，保证所提供的产品正常使用。</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2.甲方正常使用乙方提供商品（产品），乙方应提供定期跟踪等免费服务项目，保证甲方的正常使用；属质保期外出现质量技术问题的项目内容，乙方应及时按现行相关法规、标准、规定实施免费或部分有偿服务。</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3.甲方正常使用乙方提供的商品（产品）出现质量技术问题时，乙方应在甲方提出服务要求后 12小时内作出响应，负责协调解决；若遇特殊软件类技术问题双方协商解决。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left"/>
        <w:textAlignment w:val="auto"/>
        <w:rPr>
          <w:rFonts w:hint="default" w:ascii="Times New Roman" w:hAnsi="Times New Roman" w:eastAsia="方正黑体_GBK" w:cs="Times New Roman"/>
          <w:bCs/>
          <w:kern w:val="0"/>
          <w:sz w:val="24"/>
          <w:szCs w:val="24"/>
          <w:lang w:val="en-US" w:eastAsia="zh-CN" w:bidi="ar"/>
        </w:rPr>
      </w:pPr>
      <w:r>
        <w:rPr>
          <w:rFonts w:hint="default" w:ascii="Times New Roman" w:hAnsi="Times New Roman" w:eastAsia="方正黑体_GBK" w:cs="Times New Roman"/>
          <w:bCs/>
          <w:kern w:val="0"/>
          <w:sz w:val="24"/>
          <w:szCs w:val="24"/>
          <w:lang w:val="en-US" w:eastAsia="zh-CN" w:bidi="ar"/>
        </w:rPr>
        <w:t>七、违约责任</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一）不可抗力因素导致违约的，甲乙双方不承担违约责任。若一方有下列情形之一的，违约方应向守约方按照合同总金额的10%承担违约金，违约金不足以弥补损失的，还应承担赔偿责任（损失包括但不限于可得利益、诉讼费、律师费等损失在内）。</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（二） 甲方在乙方履行了本合同所有条款义务内容，并无违约行为的前提下延期付款。</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（三） 由于一方违约造成的损失，由违约方承担，合同相对方要求违约方继续履行合同时，违约方承担上述违约责任后仍应继续履行合同。</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（四） 由于违约造成第三方损失的，也由违约方在赔偿合同相对方损失的基础上再赔偿第三方损失。</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（五）甲方因政策变动或机构改革等不可抗力原因导致本合同不能履行而解除终止合同的不构成违约。</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eastAsia="方正黑体_GBK" w:cs="Times New Roman"/>
          <w:bCs/>
          <w:kern w:val="0"/>
          <w:sz w:val="24"/>
          <w:szCs w:val="24"/>
          <w:lang w:val="en-US" w:eastAsia="zh-CN" w:bidi="ar"/>
        </w:rPr>
        <w:t>八、争议解决：</w:t>
      </w:r>
      <w:r>
        <w:rPr>
          <w:rFonts w:hint="default" w:ascii="Times New Roman" w:hAnsi="Times New Roman" w:cs="Times New Roman" w:eastAsiaTheme="minorEastAsia"/>
          <w:b w:val="0"/>
          <w:bCs w:val="0"/>
          <w:color w:val="auto"/>
          <w:kern w:val="0"/>
          <w:sz w:val="24"/>
          <w:szCs w:val="24"/>
          <w:lang w:val="en-US" w:eastAsia="zh-CN"/>
        </w:rPr>
        <w:t>因本合同引起的争议，甲、乙双方应首先通过友好协商解决，如果协商或调解不能解决争议，则可向甲方所在地人民法院提起诉讼。</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eastAsia="方正黑体_GBK" w:cs="Times New Roman"/>
          <w:bCs/>
          <w:kern w:val="0"/>
          <w:sz w:val="24"/>
          <w:szCs w:val="24"/>
          <w:lang w:val="en-US" w:eastAsia="zh-CN" w:bidi="ar"/>
        </w:rPr>
        <w:t>九、特别说明：</w:t>
      </w:r>
      <w:r>
        <w:rPr>
          <w:rFonts w:hint="default" w:ascii="Times New Roman" w:hAnsi="Times New Roman" w:cs="Times New Roman" w:eastAsiaTheme="minorEastAsia"/>
          <w:b w:val="0"/>
          <w:bCs w:val="0"/>
          <w:color w:val="auto"/>
          <w:kern w:val="0"/>
          <w:sz w:val="24"/>
          <w:szCs w:val="24"/>
          <w:lang w:val="en-US" w:eastAsia="zh-CN"/>
        </w:rPr>
        <w:t>商品（产品）的保修期或与质量相关的其他期限均自完成最终验收并由甲方投入使用之日算起。</w:t>
      </w:r>
    </w:p>
    <w:p>
      <w:pPr>
        <w:keepNext w:val="0"/>
        <w:keepLines w:val="0"/>
        <w:pageBreakBefore w:val="0"/>
        <w:widowControl w:val="0"/>
        <w:kinsoku/>
        <w:wordWrap/>
        <w:overflowPunct/>
        <w:topLinePunct w:val="0"/>
        <w:autoSpaceDE/>
        <w:autoSpaceDN/>
        <w:bidi w:val="0"/>
        <w:adjustRightIn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eastAsia="方正黑体_GBK" w:cs="Times New Roman"/>
          <w:bCs/>
          <w:kern w:val="0"/>
          <w:sz w:val="24"/>
          <w:szCs w:val="24"/>
          <w:lang w:val="en-US" w:eastAsia="zh-CN" w:bidi="ar"/>
        </w:rPr>
        <w:t>十、其他：</w:t>
      </w:r>
      <w:r>
        <w:rPr>
          <w:rFonts w:hint="default" w:ascii="Times New Roman" w:hAnsi="Times New Roman" w:cs="Times New Roman" w:eastAsiaTheme="minorEastAsia"/>
          <w:b w:val="0"/>
          <w:bCs w:val="0"/>
          <w:color w:val="auto"/>
          <w:kern w:val="0"/>
          <w:sz w:val="24"/>
          <w:szCs w:val="24"/>
          <w:lang w:val="en-US" w:eastAsia="zh-CN"/>
        </w:rPr>
        <w:t>本合同一式肆份，甲乙双方签名盖章之日起正式生效，甲方持叁份、乙方持壹份，具有同等法律效力。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以下无正文</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甲方名称（章）：                   乙方名称（章）：</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主要负责人：                       法定代表人：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 xml:space="preserve">经办人：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电话：                             电话：</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 xml:space="preserve">签约日期：     年    月   日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cs="Times New Roman" w:eastAsiaTheme="minorEastAsia"/>
          <w:b w:val="0"/>
          <w:bCs w:val="0"/>
          <w:color w:val="auto"/>
          <w:kern w:val="0"/>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rPr>
        <w:t>签约地点：重庆储备粮管理集团有限公司梁平分公司</w:t>
      </w:r>
    </w:p>
    <w:p>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Times New Roman" w:hAnsi="Times New Roman" w:cs="Times New Roman" w:eastAsiaTheme="minorEastAsia"/>
          <w:color w:val="FF0000"/>
          <w:sz w:val="24"/>
          <w:szCs w:val="24"/>
        </w:rPr>
      </w:pPr>
    </w:p>
    <w:p>
      <w:pPr>
        <w:pStyle w:val="3"/>
        <w:numPr>
          <w:ilvl w:val="0"/>
          <w:numId w:val="0"/>
        </w:numPr>
        <w:tabs>
          <w:tab w:val="left" w:pos="3360"/>
        </w:tabs>
        <w:spacing w:before="0" w:beforeLines="0" w:after="0" w:afterLines="0" w:line="360" w:lineRule="auto"/>
        <w:ind w:leftChars="0"/>
        <w:jc w:val="center"/>
        <w:rPr>
          <w:rFonts w:hint="default" w:ascii="Times New Roman" w:hAnsi="Times New Roman" w:eastAsia="仿宋" w:cs="Times New Roman"/>
          <w:color w:val="auto"/>
          <w:sz w:val="24"/>
          <w:szCs w:val="24"/>
          <w:highlight w:val="none"/>
          <w:shd w:val="clear" w:color="auto" w:fill="auto"/>
          <w:lang w:val="en-US" w:eastAsia="zh-CN"/>
        </w:rPr>
      </w:pPr>
      <w:r>
        <w:rPr>
          <w:rFonts w:hint="default" w:ascii="Times New Roman" w:hAnsi="Times New Roman" w:eastAsia="仿宋" w:cs="Times New Roman"/>
          <w:color w:val="auto"/>
          <w:sz w:val="24"/>
          <w:szCs w:val="24"/>
          <w:highlight w:val="none"/>
          <w:shd w:val="clear" w:color="auto" w:fill="auto"/>
          <w:lang w:val="en-US" w:eastAsia="zh-CN"/>
        </w:rPr>
        <w:br w:type="page"/>
      </w:r>
      <w:bookmarkStart w:id="68" w:name="_Toc25546"/>
      <w: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t>第五篇 项目技术（服务）要求</w:t>
      </w:r>
      <w:bookmarkEnd w:id="68"/>
    </w:p>
    <w:bookmarkEnd w:id="67"/>
    <w:p>
      <w:pPr>
        <w:keepNext/>
        <w:keepLines/>
        <w:widowControl w:val="0"/>
        <w:adjustRightInd w:val="0"/>
        <w:snapToGrid w:val="0"/>
        <w:spacing w:line="500" w:lineRule="exact"/>
        <w:ind w:firstLine="560" w:firstLineChars="200"/>
        <w:jc w:val="both"/>
        <w:outlineLvl w:val="1"/>
        <w:rPr>
          <w:rFonts w:hint="default" w:ascii="Times New Roman" w:hAnsi="Times New Roman" w:eastAsia="方正黑体_GBK" w:cs="Times New Roman"/>
          <w:b w:val="0"/>
          <w:bCs/>
          <w:color w:val="auto"/>
          <w:kern w:val="2"/>
          <w:sz w:val="28"/>
          <w:szCs w:val="28"/>
          <w:highlight w:val="none"/>
          <w:shd w:val="clear" w:color="auto" w:fill="auto"/>
          <w:lang w:val="en-US" w:eastAsia="zh-CN" w:bidi="ar-SA"/>
        </w:rPr>
      </w:pPr>
      <w:bookmarkStart w:id="69" w:name="_Toc18653"/>
      <w:bookmarkStart w:id="70" w:name="_Toc87007374"/>
      <w:bookmarkStart w:id="71" w:name="_Toc2763"/>
      <w:bookmarkStart w:id="72" w:name="_Toc12789059"/>
      <w:bookmarkStart w:id="73" w:name="_Toc75793536"/>
      <w:bookmarkStart w:id="74" w:name="_Toc99622272"/>
      <w:bookmarkStart w:id="75" w:name="_Toc11641055"/>
      <w:r>
        <w:rPr>
          <w:rFonts w:hint="default" w:ascii="Times New Roman" w:hAnsi="Times New Roman" w:eastAsia="方正黑体_GBK" w:cs="Times New Roman"/>
          <w:b w:val="0"/>
          <w:bCs/>
          <w:color w:val="auto"/>
          <w:kern w:val="2"/>
          <w:sz w:val="28"/>
          <w:szCs w:val="28"/>
          <w:highlight w:val="none"/>
          <w:shd w:val="clear" w:color="auto" w:fill="auto"/>
          <w:lang w:val="en-US" w:eastAsia="zh-CN" w:bidi="ar-SA"/>
        </w:rPr>
        <w:t>一、项目一览表</w:t>
      </w:r>
      <w:bookmarkEnd w:id="69"/>
    </w:p>
    <w:tbl>
      <w:tblPr>
        <w:tblStyle w:val="11"/>
        <w:tblW w:w="9072"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48"/>
        <w:gridCol w:w="873"/>
        <w:gridCol w:w="1131"/>
        <w:gridCol w:w="1680"/>
        <w:gridCol w:w="1488"/>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72" w:type="dxa"/>
            <w:gridSpan w:val="7"/>
            <w:noWrap w:val="0"/>
            <w:vAlign w:val="center"/>
          </w:tcPr>
          <w:p>
            <w:pPr>
              <w:spacing w:line="360" w:lineRule="exact"/>
              <w:ind w:firstLine="0" w:firstLineChars="0"/>
              <w:jc w:val="center"/>
              <w:rPr>
                <w:rFonts w:hint="default" w:ascii="Times New Roman" w:hAnsi="Times New Roman" w:eastAsia="仿宋" w:cs="Times New Roman"/>
                <w:b/>
                <w:color w:val="auto"/>
                <w:sz w:val="20"/>
                <w:szCs w:val="20"/>
                <w:highlight w:val="none"/>
                <w:shd w:val="clear" w:color="auto" w:fill="auto"/>
              </w:rPr>
            </w:pPr>
            <w:r>
              <w:rPr>
                <w:rFonts w:hint="default" w:ascii="Times New Roman" w:hAnsi="Times New Roman" w:eastAsia="方正黑体_GBK" w:cs="Times New Roman"/>
                <w:b w:val="0"/>
                <w:bCs/>
                <w:color w:val="auto"/>
                <w:sz w:val="21"/>
                <w:szCs w:val="21"/>
                <w:highlight w:val="none"/>
                <w:shd w:val="clear" w:color="auto" w:fill="auto"/>
              </w:rPr>
              <w:t>梁平分公司会议系统设备采购项目清单表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20" w:type="dxa"/>
            <w:noWrap w:val="0"/>
            <w:vAlign w:val="center"/>
          </w:tcPr>
          <w:p>
            <w:pPr>
              <w:spacing w:line="360" w:lineRule="exact"/>
              <w:ind w:firstLine="0" w:firstLineChars="0"/>
              <w:jc w:val="center"/>
              <w:rPr>
                <w:rFonts w:hint="default" w:ascii="Times New Roman" w:hAnsi="Times New Roman" w:eastAsia="方正黑体_GBK" w:cs="Times New Roman"/>
                <w:b w:val="0"/>
                <w:bCs/>
                <w:color w:val="auto"/>
                <w:sz w:val="20"/>
                <w:szCs w:val="20"/>
                <w:highlight w:val="none"/>
                <w:shd w:val="clear" w:color="auto" w:fill="auto"/>
                <w:lang w:val="en-US" w:eastAsia="zh-CN"/>
              </w:rPr>
            </w:pPr>
            <w:r>
              <w:rPr>
                <w:rFonts w:hint="default" w:ascii="Times New Roman" w:hAnsi="Times New Roman" w:eastAsia="方正黑体_GBK" w:cs="Times New Roman"/>
                <w:b w:val="0"/>
                <w:bCs/>
                <w:color w:val="auto"/>
                <w:sz w:val="20"/>
                <w:szCs w:val="20"/>
                <w:highlight w:val="none"/>
                <w:shd w:val="clear" w:color="auto" w:fill="auto"/>
                <w:lang w:val="en-US" w:eastAsia="zh-CN"/>
              </w:rPr>
              <w:t>序号</w:t>
            </w:r>
          </w:p>
        </w:tc>
        <w:tc>
          <w:tcPr>
            <w:tcW w:w="2148" w:type="dxa"/>
            <w:noWrap w:val="0"/>
            <w:vAlign w:val="center"/>
          </w:tcPr>
          <w:p>
            <w:pPr>
              <w:spacing w:line="360" w:lineRule="exact"/>
              <w:ind w:firstLine="0" w:firstLineChars="0"/>
              <w:jc w:val="center"/>
              <w:rPr>
                <w:rFonts w:hint="default" w:ascii="Times New Roman" w:hAnsi="Times New Roman" w:eastAsia="方正黑体_GBK" w:cs="Times New Roman"/>
                <w:b w:val="0"/>
                <w:bCs/>
                <w:color w:val="auto"/>
                <w:sz w:val="20"/>
                <w:szCs w:val="20"/>
                <w:highlight w:val="none"/>
                <w:shd w:val="clear" w:color="auto" w:fill="auto"/>
              </w:rPr>
            </w:pPr>
            <w:r>
              <w:rPr>
                <w:rFonts w:hint="default" w:ascii="Times New Roman" w:hAnsi="Times New Roman" w:eastAsia="方正黑体_GBK" w:cs="Times New Roman"/>
                <w:b w:val="0"/>
                <w:bCs/>
                <w:color w:val="auto"/>
                <w:sz w:val="20"/>
                <w:szCs w:val="20"/>
                <w:highlight w:val="none"/>
                <w:shd w:val="clear" w:color="auto" w:fill="auto"/>
              </w:rPr>
              <w:t>产品名称（设备名称）</w:t>
            </w:r>
          </w:p>
        </w:tc>
        <w:tc>
          <w:tcPr>
            <w:tcW w:w="873" w:type="dxa"/>
            <w:noWrap w:val="0"/>
            <w:vAlign w:val="center"/>
          </w:tcPr>
          <w:p>
            <w:pPr>
              <w:spacing w:line="360" w:lineRule="exact"/>
              <w:ind w:firstLine="0" w:firstLineChars="0"/>
              <w:jc w:val="center"/>
              <w:rPr>
                <w:rFonts w:hint="default" w:ascii="Times New Roman" w:hAnsi="Times New Roman" w:eastAsia="方正黑体_GBK" w:cs="Times New Roman"/>
                <w:b w:val="0"/>
                <w:bCs/>
                <w:color w:val="auto"/>
                <w:sz w:val="20"/>
                <w:szCs w:val="20"/>
                <w:highlight w:val="none"/>
                <w:shd w:val="clear" w:color="auto" w:fill="auto"/>
                <w:lang w:eastAsia="zh-CN"/>
              </w:rPr>
            </w:pPr>
            <w:r>
              <w:rPr>
                <w:rFonts w:hint="default" w:ascii="Times New Roman" w:hAnsi="Times New Roman" w:eastAsia="方正黑体_GBK" w:cs="Times New Roman"/>
                <w:b w:val="0"/>
                <w:bCs/>
                <w:color w:val="auto"/>
                <w:sz w:val="20"/>
                <w:szCs w:val="20"/>
                <w:highlight w:val="none"/>
                <w:shd w:val="clear" w:color="auto" w:fill="auto"/>
                <w:lang w:val="en-US" w:eastAsia="zh-CN"/>
              </w:rPr>
              <w:t>数量</w:t>
            </w:r>
          </w:p>
        </w:tc>
        <w:tc>
          <w:tcPr>
            <w:tcW w:w="1131" w:type="dxa"/>
            <w:noWrap w:val="0"/>
            <w:vAlign w:val="center"/>
          </w:tcPr>
          <w:p>
            <w:pPr>
              <w:spacing w:line="360" w:lineRule="exact"/>
              <w:ind w:firstLine="0" w:firstLineChars="0"/>
              <w:jc w:val="center"/>
              <w:rPr>
                <w:rFonts w:hint="default" w:ascii="Times New Roman" w:hAnsi="Times New Roman" w:eastAsia="方正黑体_GBK" w:cs="Times New Roman"/>
                <w:b w:val="0"/>
                <w:bCs/>
                <w:color w:val="auto"/>
                <w:sz w:val="20"/>
                <w:szCs w:val="20"/>
                <w:highlight w:val="none"/>
                <w:shd w:val="clear" w:color="auto" w:fill="auto"/>
                <w:lang w:eastAsia="zh-CN"/>
              </w:rPr>
            </w:pPr>
            <w:r>
              <w:rPr>
                <w:rFonts w:hint="default" w:ascii="Times New Roman" w:hAnsi="Times New Roman" w:eastAsia="方正黑体_GBK" w:cs="Times New Roman"/>
                <w:b w:val="0"/>
                <w:bCs/>
                <w:color w:val="auto"/>
                <w:sz w:val="20"/>
                <w:szCs w:val="20"/>
                <w:highlight w:val="none"/>
                <w:shd w:val="clear" w:color="auto" w:fill="auto"/>
                <w:lang w:val="en-US" w:eastAsia="zh-CN"/>
              </w:rPr>
              <w:t>单位</w:t>
            </w:r>
          </w:p>
        </w:tc>
        <w:tc>
          <w:tcPr>
            <w:tcW w:w="1680" w:type="dxa"/>
            <w:noWrap w:val="0"/>
            <w:vAlign w:val="center"/>
          </w:tcPr>
          <w:p>
            <w:pPr>
              <w:spacing w:line="360" w:lineRule="exact"/>
              <w:ind w:firstLine="0" w:firstLineChars="0"/>
              <w:jc w:val="center"/>
              <w:rPr>
                <w:rFonts w:hint="default" w:ascii="Times New Roman" w:hAnsi="Times New Roman" w:eastAsia="方正黑体_GBK" w:cs="Times New Roman"/>
                <w:b w:val="0"/>
                <w:bCs/>
                <w:color w:val="auto"/>
                <w:sz w:val="20"/>
                <w:szCs w:val="20"/>
                <w:highlight w:val="none"/>
                <w:shd w:val="clear" w:color="auto" w:fill="auto"/>
              </w:rPr>
            </w:pPr>
            <w:r>
              <w:rPr>
                <w:rFonts w:hint="default" w:ascii="Times New Roman" w:hAnsi="Times New Roman" w:eastAsia="方正黑体_GBK" w:cs="Times New Roman"/>
                <w:b w:val="0"/>
                <w:bCs/>
                <w:color w:val="auto"/>
                <w:sz w:val="20"/>
                <w:szCs w:val="20"/>
                <w:highlight w:val="none"/>
                <w:shd w:val="clear" w:color="auto" w:fill="auto"/>
                <w:lang w:val="en-US" w:eastAsia="zh-CN"/>
              </w:rPr>
              <w:t>全费用综合单价</w:t>
            </w:r>
            <w:r>
              <w:rPr>
                <w:rFonts w:hint="default" w:ascii="Times New Roman" w:hAnsi="Times New Roman" w:eastAsia="方正黑体_GBK" w:cs="Times New Roman"/>
                <w:b w:val="0"/>
                <w:bCs/>
                <w:color w:val="auto"/>
                <w:sz w:val="20"/>
                <w:szCs w:val="20"/>
                <w:highlight w:val="none"/>
                <w:shd w:val="clear" w:color="auto" w:fill="auto"/>
              </w:rPr>
              <w:t>最高限价（元）</w:t>
            </w:r>
          </w:p>
        </w:tc>
        <w:tc>
          <w:tcPr>
            <w:tcW w:w="1488" w:type="dxa"/>
            <w:noWrap w:val="0"/>
            <w:vAlign w:val="center"/>
          </w:tcPr>
          <w:p>
            <w:pPr>
              <w:spacing w:line="360" w:lineRule="exact"/>
              <w:ind w:firstLine="0" w:firstLineChars="0"/>
              <w:jc w:val="center"/>
              <w:rPr>
                <w:rFonts w:hint="default" w:ascii="Times New Roman" w:hAnsi="Times New Roman" w:eastAsia="方正黑体_GBK" w:cs="Times New Roman"/>
                <w:b w:val="0"/>
                <w:bCs/>
                <w:color w:val="auto"/>
                <w:sz w:val="20"/>
                <w:szCs w:val="20"/>
                <w:highlight w:val="none"/>
                <w:shd w:val="clear" w:color="auto" w:fill="auto"/>
              </w:rPr>
            </w:pPr>
            <w:r>
              <w:rPr>
                <w:rFonts w:hint="default" w:ascii="Times New Roman" w:hAnsi="Times New Roman" w:eastAsia="方正黑体_GBK" w:cs="Times New Roman"/>
                <w:b w:val="0"/>
                <w:bCs/>
                <w:color w:val="auto"/>
                <w:sz w:val="20"/>
                <w:szCs w:val="20"/>
                <w:highlight w:val="none"/>
                <w:shd w:val="clear" w:color="auto" w:fill="auto"/>
                <w:lang w:val="en-US" w:eastAsia="zh-CN"/>
              </w:rPr>
              <w:t>最高限价（元）</w:t>
            </w:r>
          </w:p>
        </w:tc>
        <w:tc>
          <w:tcPr>
            <w:tcW w:w="1032" w:type="dxa"/>
            <w:noWrap w:val="0"/>
            <w:vAlign w:val="center"/>
          </w:tcPr>
          <w:p>
            <w:pPr>
              <w:spacing w:line="360" w:lineRule="exact"/>
              <w:ind w:firstLine="0" w:firstLineChars="0"/>
              <w:jc w:val="center"/>
              <w:rPr>
                <w:rFonts w:hint="default" w:ascii="Times New Roman" w:hAnsi="Times New Roman" w:eastAsia="方正黑体_GBK" w:cs="Times New Roman"/>
                <w:b w:val="0"/>
                <w:bCs/>
                <w:color w:val="auto"/>
                <w:sz w:val="20"/>
                <w:szCs w:val="20"/>
                <w:highlight w:val="none"/>
                <w:shd w:val="clear" w:color="auto" w:fill="auto"/>
                <w:lang w:val="en-US" w:eastAsia="zh-CN"/>
              </w:rPr>
            </w:pPr>
            <w:r>
              <w:rPr>
                <w:rFonts w:hint="default" w:ascii="Times New Roman" w:hAnsi="Times New Roman" w:eastAsia="方正黑体_GBK" w:cs="Times New Roman"/>
                <w:b w:val="0"/>
                <w:bCs/>
                <w:color w:val="auto"/>
                <w:sz w:val="20"/>
                <w:szCs w:val="20"/>
                <w:highlight w:val="none"/>
                <w:shd w:val="clear" w:color="auto" w:fil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148"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LED屏</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6.19</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7955.56</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49244.92</w:t>
            </w:r>
          </w:p>
        </w:tc>
        <w:tc>
          <w:tcPr>
            <w:tcW w:w="1032" w:type="dxa"/>
            <w:vMerge w:val="restart"/>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含安装及调试等所有本项目所需服务费用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148"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视频处理器</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4630.4</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4630.40</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148"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高清摄像机</w:t>
            </w:r>
          </w:p>
        </w:tc>
        <w:tc>
          <w:tcPr>
            <w:tcW w:w="873"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bidi="ar"/>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5814.7</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5814.70</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2148"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全场景智慧平板</w:t>
            </w:r>
          </w:p>
        </w:tc>
        <w:tc>
          <w:tcPr>
            <w:tcW w:w="873"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bidi="ar"/>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29213.22</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29213.22</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val="en-US" w:eastAsia="zh-CN" w:bidi="ar"/>
              </w:rPr>
            </w:pPr>
            <w:r>
              <w:rPr>
                <w:rFonts w:hint="default" w:ascii="Times New Roman" w:hAnsi="Times New Roman" w:eastAsia="宋体" w:cs="Times New Roman"/>
                <w:color w:val="auto"/>
                <w:spacing w:val="-1"/>
                <w:kern w:val="0"/>
                <w:sz w:val="21"/>
                <w:szCs w:val="21"/>
                <w:highlight w:val="none"/>
                <w:lang w:val="en-US" w:eastAsia="zh-CN" w:bidi="ar"/>
              </w:rPr>
              <w:t xml:space="preserve"> 5</w:t>
            </w:r>
          </w:p>
        </w:tc>
        <w:tc>
          <w:tcPr>
            <w:tcW w:w="2148"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bidi="ar"/>
              </w:rPr>
            </w:pPr>
            <w:r>
              <w:rPr>
                <w:rFonts w:hint="default" w:ascii="Times New Roman" w:hAnsi="Times New Roman" w:eastAsia="宋体" w:cs="Times New Roman"/>
                <w:color w:val="auto"/>
                <w:spacing w:val="-1"/>
                <w:kern w:val="0"/>
                <w:sz w:val="21"/>
                <w:szCs w:val="21"/>
                <w:highlight w:val="none"/>
                <w:lang w:bidi="ar"/>
              </w:rPr>
              <w:t>视频会议终端主机</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25502.82</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25502.82</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val="en-US" w:eastAsia="zh-CN" w:bidi="ar"/>
              </w:rPr>
            </w:pPr>
            <w:r>
              <w:rPr>
                <w:rFonts w:hint="default" w:ascii="Times New Roman" w:hAnsi="Times New Roman" w:eastAsia="宋体" w:cs="Times New Roman"/>
                <w:color w:val="auto"/>
                <w:spacing w:val="-1"/>
                <w:kern w:val="0"/>
                <w:sz w:val="21"/>
                <w:szCs w:val="21"/>
                <w:highlight w:val="none"/>
                <w:lang w:val="en-US" w:eastAsia="zh-CN" w:bidi="ar"/>
              </w:rPr>
              <w:t xml:space="preserve"> 6</w:t>
            </w:r>
          </w:p>
        </w:tc>
        <w:tc>
          <w:tcPr>
            <w:tcW w:w="2148"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bidi="ar"/>
              </w:rPr>
            </w:pPr>
            <w:r>
              <w:rPr>
                <w:rFonts w:hint="default" w:ascii="Times New Roman" w:hAnsi="Times New Roman" w:eastAsia="宋体" w:cs="Times New Roman"/>
                <w:color w:val="auto"/>
                <w:spacing w:val="-1"/>
                <w:kern w:val="0"/>
                <w:sz w:val="21"/>
                <w:szCs w:val="21"/>
                <w:highlight w:val="none"/>
                <w:lang w:bidi="ar"/>
              </w:rPr>
              <w:t>视频会议摄像机</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14621.1</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14621.10</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val="en-US" w:eastAsia="zh-CN" w:bidi="ar"/>
              </w:rPr>
            </w:pPr>
            <w:r>
              <w:rPr>
                <w:rFonts w:hint="default" w:ascii="Times New Roman" w:hAnsi="Times New Roman" w:eastAsia="宋体" w:cs="Times New Roman"/>
                <w:color w:val="auto"/>
                <w:spacing w:val="-1"/>
                <w:kern w:val="0"/>
                <w:sz w:val="21"/>
                <w:szCs w:val="21"/>
                <w:highlight w:val="none"/>
                <w:lang w:val="en-US" w:eastAsia="zh-CN" w:bidi="ar"/>
              </w:rPr>
              <w:t xml:space="preserve"> 7</w:t>
            </w:r>
          </w:p>
        </w:tc>
        <w:tc>
          <w:tcPr>
            <w:tcW w:w="2148"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bidi="ar"/>
              </w:rPr>
            </w:pPr>
            <w:r>
              <w:rPr>
                <w:rFonts w:hint="default" w:ascii="Times New Roman" w:hAnsi="Times New Roman" w:eastAsia="宋体" w:cs="Times New Roman"/>
                <w:color w:val="auto"/>
                <w:spacing w:val="-1"/>
                <w:kern w:val="0"/>
                <w:sz w:val="21"/>
                <w:szCs w:val="21"/>
                <w:highlight w:val="none"/>
                <w:lang w:bidi="ar"/>
              </w:rPr>
              <w:t>会议音响</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2181.74</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4363.48</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val="en-US" w:eastAsia="zh-CN" w:bidi="ar"/>
              </w:rPr>
            </w:pPr>
            <w:r>
              <w:rPr>
                <w:rFonts w:hint="default" w:ascii="Times New Roman" w:hAnsi="Times New Roman" w:eastAsia="宋体" w:cs="Times New Roman"/>
                <w:color w:val="auto"/>
                <w:spacing w:val="-1"/>
                <w:kern w:val="0"/>
                <w:sz w:val="21"/>
                <w:szCs w:val="21"/>
                <w:highlight w:val="none"/>
                <w:lang w:val="en-US" w:eastAsia="zh-CN" w:bidi="ar"/>
              </w:rPr>
              <w:t xml:space="preserve"> 8</w:t>
            </w:r>
          </w:p>
        </w:tc>
        <w:tc>
          <w:tcPr>
            <w:tcW w:w="2148"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bidi="ar"/>
              </w:rPr>
            </w:pPr>
            <w:r>
              <w:rPr>
                <w:rFonts w:hint="default" w:ascii="Times New Roman" w:hAnsi="Times New Roman" w:eastAsia="宋体" w:cs="Times New Roman"/>
                <w:color w:val="auto"/>
                <w:spacing w:val="-1"/>
                <w:kern w:val="0"/>
                <w:sz w:val="21"/>
                <w:szCs w:val="21"/>
                <w:highlight w:val="none"/>
                <w:lang w:bidi="ar"/>
              </w:rPr>
              <w:t>功率放大器</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2663.1</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2663.10</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val="en-US" w:eastAsia="zh-CN" w:bidi="ar"/>
              </w:rPr>
            </w:pPr>
            <w:r>
              <w:rPr>
                <w:rFonts w:hint="default" w:ascii="Times New Roman" w:hAnsi="Times New Roman" w:eastAsia="宋体" w:cs="Times New Roman"/>
                <w:color w:val="auto"/>
                <w:spacing w:val="-1"/>
                <w:kern w:val="0"/>
                <w:sz w:val="21"/>
                <w:szCs w:val="21"/>
                <w:highlight w:val="none"/>
                <w:lang w:val="en-US" w:eastAsia="zh-CN" w:bidi="ar"/>
              </w:rPr>
              <w:t xml:space="preserve"> 9</w:t>
            </w:r>
          </w:p>
        </w:tc>
        <w:tc>
          <w:tcPr>
            <w:tcW w:w="2148"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bidi="ar"/>
              </w:rPr>
            </w:pPr>
            <w:r>
              <w:rPr>
                <w:rFonts w:hint="default" w:ascii="Times New Roman" w:hAnsi="Times New Roman" w:eastAsia="宋体" w:cs="Times New Roman"/>
                <w:color w:val="auto"/>
                <w:spacing w:val="-1"/>
                <w:kern w:val="0"/>
                <w:sz w:val="21"/>
                <w:szCs w:val="21"/>
                <w:highlight w:val="none"/>
                <w:lang w:bidi="ar"/>
              </w:rPr>
              <w:t>8路电源时序器</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1326.73</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1326.73</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val="en-US" w:eastAsia="zh-CN" w:bidi="ar"/>
              </w:rPr>
            </w:pPr>
            <w:r>
              <w:rPr>
                <w:rFonts w:hint="default" w:ascii="Times New Roman" w:hAnsi="Times New Roman" w:eastAsia="宋体" w:cs="Times New Roman"/>
                <w:color w:val="auto"/>
                <w:spacing w:val="-1"/>
                <w:kern w:val="0"/>
                <w:sz w:val="21"/>
                <w:szCs w:val="21"/>
                <w:highlight w:val="none"/>
                <w:lang w:val="en-US" w:eastAsia="zh-CN" w:bidi="ar"/>
              </w:rPr>
              <w:t xml:space="preserve"> 10</w:t>
            </w:r>
          </w:p>
        </w:tc>
        <w:tc>
          <w:tcPr>
            <w:tcW w:w="2148"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bidi="ar"/>
              </w:rPr>
            </w:pPr>
            <w:r>
              <w:rPr>
                <w:rFonts w:hint="default" w:ascii="Times New Roman" w:hAnsi="Times New Roman" w:eastAsia="宋体" w:cs="Times New Roman"/>
                <w:color w:val="auto"/>
                <w:spacing w:val="-1"/>
                <w:kern w:val="0"/>
                <w:sz w:val="21"/>
                <w:szCs w:val="21"/>
                <w:highlight w:val="none"/>
                <w:lang w:bidi="ar"/>
              </w:rPr>
              <w:t>8路调音台</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2030.53</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2030.53</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val="en-US" w:eastAsia="zh-CN" w:bidi="ar"/>
              </w:rPr>
            </w:pPr>
            <w:r>
              <w:rPr>
                <w:rFonts w:hint="default" w:ascii="Times New Roman" w:hAnsi="Times New Roman" w:eastAsia="宋体" w:cs="Times New Roman"/>
                <w:color w:val="auto"/>
                <w:spacing w:val="-1"/>
                <w:kern w:val="0"/>
                <w:sz w:val="21"/>
                <w:szCs w:val="21"/>
                <w:highlight w:val="none"/>
                <w:lang w:val="en-US" w:eastAsia="zh-CN" w:bidi="ar"/>
              </w:rPr>
              <w:t xml:space="preserve"> 11</w:t>
            </w:r>
          </w:p>
        </w:tc>
        <w:tc>
          <w:tcPr>
            <w:tcW w:w="2148" w:type="dxa"/>
            <w:noWrap w:val="0"/>
            <w:vAlign w:val="center"/>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bidi="ar"/>
              </w:rPr>
            </w:pPr>
            <w:r>
              <w:rPr>
                <w:rFonts w:hint="default" w:ascii="Times New Roman" w:hAnsi="Times New Roman" w:eastAsia="宋体" w:cs="Times New Roman"/>
                <w:color w:val="auto"/>
                <w:spacing w:val="-1"/>
                <w:kern w:val="0"/>
                <w:sz w:val="21"/>
                <w:szCs w:val="21"/>
                <w:highlight w:val="none"/>
                <w:lang w:bidi="ar"/>
              </w:rPr>
              <w:t>无线话筒（桌面式）</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3616.08</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3616.08</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2148" w:type="dxa"/>
            <w:noWrap w:val="0"/>
            <w:vAlign w:val="top"/>
          </w:tcPr>
          <w:p>
            <w:pPr>
              <w:widowControl/>
              <w:kinsoku w:val="0"/>
              <w:adjustRightInd w:val="0"/>
              <w:snapToGrid w:val="0"/>
              <w:spacing w:line="360" w:lineRule="exact"/>
              <w:ind w:right="157" w:firstLine="0" w:firstLineChars="0"/>
              <w:jc w:val="center"/>
              <w:textAlignment w:val="baseline"/>
              <w:rPr>
                <w:rFonts w:hint="default" w:ascii="Times New Roman" w:hAnsi="Times New Roman" w:eastAsia="宋体" w:cs="Times New Roman"/>
                <w:color w:val="auto"/>
                <w:spacing w:val="-1"/>
                <w:kern w:val="0"/>
                <w:sz w:val="21"/>
                <w:szCs w:val="21"/>
                <w:highlight w:val="none"/>
                <w:lang w:bidi="ar"/>
              </w:rPr>
            </w:pPr>
            <w:r>
              <w:rPr>
                <w:rFonts w:hint="default" w:ascii="Times New Roman" w:hAnsi="Times New Roman" w:eastAsia="宋体" w:cs="Times New Roman"/>
                <w:color w:val="auto"/>
                <w:spacing w:val="-1"/>
                <w:kern w:val="0"/>
                <w:sz w:val="21"/>
                <w:szCs w:val="21"/>
                <w:highlight w:val="none"/>
                <w:lang w:bidi="ar"/>
              </w:rPr>
              <w:t>设备机柜</w:t>
            </w:r>
          </w:p>
        </w:tc>
        <w:tc>
          <w:tcPr>
            <w:tcW w:w="873"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1131"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台</w:t>
            </w:r>
          </w:p>
        </w:tc>
        <w:tc>
          <w:tcPr>
            <w:tcW w:w="16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533.93</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bidi="ar"/>
              </w:rPr>
              <w:t>1067.86</w:t>
            </w:r>
          </w:p>
        </w:tc>
        <w:tc>
          <w:tcPr>
            <w:tcW w:w="1032" w:type="dxa"/>
            <w:vMerge w:val="continue"/>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36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w:t>
            </w:r>
          </w:p>
        </w:tc>
        <w:tc>
          <w:tcPr>
            <w:tcW w:w="5832" w:type="dxa"/>
            <w:gridSpan w:val="4"/>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响应报价总报价（元）</w:t>
            </w:r>
          </w:p>
        </w:tc>
        <w:tc>
          <w:tcPr>
            <w:tcW w:w="1488" w:type="dxa"/>
            <w:noWrap w:val="0"/>
            <w:vAlign w:val="center"/>
          </w:tcPr>
          <w:p>
            <w:pPr>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144094.94</w:t>
            </w:r>
          </w:p>
        </w:tc>
        <w:tc>
          <w:tcPr>
            <w:tcW w:w="1032" w:type="dxa"/>
            <w:noWrap w:val="0"/>
            <w:vAlign w:val="center"/>
          </w:tcPr>
          <w:p>
            <w:pPr>
              <w:spacing w:line="360" w:lineRule="exact"/>
              <w:ind w:firstLine="0" w:firstLineChars="0"/>
              <w:jc w:val="center"/>
              <w:rPr>
                <w:rFonts w:hint="default" w:ascii="Times New Roman" w:hAnsi="Times New Roman" w:eastAsia="宋体" w:cs="Times New Roman"/>
                <w:color w:val="auto"/>
                <w:sz w:val="21"/>
                <w:szCs w:val="21"/>
                <w:highlight w:val="none"/>
              </w:rPr>
            </w:pPr>
          </w:p>
        </w:tc>
      </w:tr>
    </w:tbl>
    <w:p>
      <w:pPr>
        <w:keepNext/>
        <w:keepLines/>
        <w:pageBreakBefore w:val="0"/>
        <w:widowControl w:val="0"/>
        <w:kinsoku/>
        <w:wordWrap/>
        <w:overflowPunct/>
        <w:topLinePunct w:val="0"/>
        <w:autoSpaceDE/>
        <w:autoSpaceDN/>
        <w:bidi w:val="0"/>
        <w:adjustRightInd w:val="0"/>
        <w:snapToGrid w:val="0"/>
        <w:spacing w:line="380" w:lineRule="exact"/>
        <w:ind w:firstLine="560" w:firstLineChars="200"/>
        <w:jc w:val="both"/>
        <w:textAlignment w:val="auto"/>
        <w:outlineLvl w:val="1"/>
        <w:rPr>
          <w:rFonts w:hint="default" w:ascii="Times New Roman" w:hAnsi="Times New Roman" w:eastAsia="方正黑体_GBK" w:cs="Times New Roman"/>
          <w:b w:val="0"/>
          <w:bCs/>
          <w:color w:val="auto"/>
          <w:kern w:val="2"/>
          <w:sz w:val="28"/>
          <w:szCs w:val="28"/>
          <w:highlight w:val="none"/>
          <w:shd w:val="clear" w:color="auto" w:fill="auto"/>
          <w:lang w:val="en-US" w:eastAsia="zh-CN" w:bidi="ar-SA"/>
        </w:rPr>
      </w:pPr>
      <w:bookmarkStart w:id="76" w:name="_Toc19665"/>
      <w:r>
        <w:rPr>
          <w:rFonts w:hint="default" w:ascii="Times New Roman" w:hAnsi="Times New Roman" w:eastAsia="方正黑体_GBK" w:cs="Times New Roman"/>
          <w:b w:val="0"/>
          <w:bCs/>
          <w:color w:val="auto"/>
          <w:kern w:val="2"/>
          <w:sz w:val="28"/>
          <w:szCs w:val="28"/>
          <w:highlight w:val="none"/>
          <w:shd w:val="clear" w:color="auto" w:fill="auto"/>
          <w:lang w:val="en-US" w:eastAsia="zh-CN" w:bidi="ar-SA"/>
        </w:rPr>
        <w:t>二、本项目的技术参数</w:t>
      </w:r>
      <w:bookmarkEnd w:id="76"/>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（一）LED屏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1.显示屏尺寸：宽3.52m，高1.76m；</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2.点间距≤1.538mm，像素密度≥422500点/平米；</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3.亮度≥500cd/㎡，发光点中心距偏差≤1%，亮度均匀性≥99%，鉴别等级BJ≥24；</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4.对比度：≥9000:1；水平/垂直视角≥170°；</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5.支持PWM灰阶控制技术提升低灰视觉效果，支持软件实现不同亮度情况下，灰度8-18bit任意设置；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6.支持通过配套软件调节刷新率的设置选项，刷新率≥3840Hz,同时支持 0~100%无极调节；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7.能源效率≥3.2cd/w，符合GB21520-2015，能效一级；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8.模组相对错位值≤0.1mm，平整度等级（P）≤0.5mm，换帧率≥50Hz，均符合SJ/T11141-2017标准C级；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9.浪涌试验: 交流电源端: 差模 0.5KV.共模1kV，抗雷击；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10.峰值功耗≤253W/㎡，平均功耗≤85W/㎡；</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11.防护等级（户内）：产品符合IP3X；盐雾试验达到盐雾10级要求；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12.寿命≥120000h，平均失效间隔工作时间（MTBF）≥100000h，平均故障恢复时间（MTTR）≤2分钟；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13.电流增益调节级别≥8位，电流增益调节范围1%-199%；</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14.支持单点亮度色度校正功能，校正后亮度损失&lt;7%，屏体正面为亚黑处理，反光率≤2%；</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15.支持自动检测长时间没有使用屏体，将启动除湿模式30min,使屏体从10%-100%逐步显示，提升产品稳定性；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16.LED显示屏画面延迟≤500ns，画面信噪比≥60dB；亮度衰减率≤8%；</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17.按GB20943-2013附录A的规定进行，在室温下LED显示屏供电电源的功率因数不小于95%，转换效率不小于86%；</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18.支持脱机无信号下显示预制画面信息、画面轮询，永不黑屏；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19.具有模组加密功能，防止网络恶意入侵。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★注</w:t>
      </w:r>
      <w:r>
        <w:rPr>
          <w:rFonts w:hint="default" w:ascii="Times New Roman" w:hAnsi="Times New Roman" w:cs="Times New Roman" w:eastAsiaTheme="minorEastAsia"/>
          <w:b w:val="0"/>
          <w:bCs/>
          <w:color w:val="auto"/>
          <w:sz w:val="24"/>
          <w:szCs w:val="24"/>
          <w:highlight w:val="none"/>
          <w:shd w:val="clear" w:color="auto" w:fill="auto"/>
          <w:lang w:val="en-US" w:eastAsia="zh-CN"/>
        </w:rPr>
        <w:t>：以上参数需提供具有CNAS、CMA及ilac-MRA标识的第三方检测报告复印件并加盖供应商公章。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（二）视频处理器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w:t>
      </w:r>
      <w:r>
        <w:rPr>
          <w:rFonts w:hint="default" w:ascii="Times New Roman" w:hAnsi="Times New Roman" w:cs="Times New Roman" w:eastAsiaTheme="minorEastAsia"/>
          <w:b w:val="0"/>
          <w:bCs/>
          <w:color w:val="auto"/>
          <w:sz w:val="24"/>
          <w:szCs w:val="24"/>
          <w:highlight w:val="none"/>
          <w:shd w:val="clear" w:color="auto" w:fill="auto"/>
          <w:lang w:val="en-US" w:eastAsia="zh-CN"/>
        </w:rPr>
        <w:t>六</w:t>
      </w:r>
      <w:r>
        <w:rPr>
          <w:rFonts w:hint="default" w:ascii="Times New Roman" w:hAnsi="Times New Roman" w:cs="Times New Roman" w:eastAsiaTheme="minorEastAsia"/>
          <w:b w:val="0"/>
          <w:bCs/>
          <w:color w:val="auto"/>
          <w:sz w:val="24"/>
          <w:szCs w:val="24"/>
          <w:highlight w:val="none"/>
          <w:shd w:val="clear" w:color="auto" w:fill="auto"/>
        </w:rPr>
        <w:t>路千兆网口输出；总带载390万像素点，单网口带载65万像素点，整机最宽8192像素，最高3840像素；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2.最大输入分辨率：3840x2160@60hz；</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3.丰富的输入接口： DVIx1、HDMIx2、DPx1、VGAx1、AUDIOx1；</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4.支持外置独立音频输入与输出,音量大小调节；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5.支持4画面同时显示（需要提供具有ilac-MRA、CNAS、CMA认证标识的第三方功能检测报告）；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6.支持创建8个用户场景作为模板保存可直接调用（需要提供具有ilac-MRA、CNAS、CMA认证标识的第三方功能检测报告）；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7.支持输出画面亮度、对比度、色温、饱和度、锐度等进行快速调整（需要提供具有ilac-MRA、CNAS、CMA认证标识的第三方功能检测报告）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8.支持多画面无缝切换，单图层无缝切换；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9.支持一键黑屏；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10.支持自定义输出分辨率，自定义输入EDID；</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11.支持测试模式，无需接入信号源，输出红绿蓝白等输出画面（需要提供具有ilac-MRA、CNAS、CMA认证标识的第三方功能检测报告）；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12.支持上位机软件监控发送卡运行参数及状态（需要提供具有ilac-MRA、CNAS、CMA认证标识的第三方功能检测报告）；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13.支持数据巡检，SD卡自动巡检，大屏更换接收卡后，免调试，工程文件“一键”巡检修复数据（需要提供具有ilac-MRA、CNAS、CMA认证标识的第三方功能检测报告）；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14.支持云平台管理（需要提供具有ilac-MRA、CNAS、CMA认证标识的第三方功能检测报告）；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15.支持RS232串口接中控；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16.支持按键锁。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（三）高清摄像机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1.采用1/2.9英寸207万像素高品质图像传感器，最大分辨率可达1920×1080，输出帧率高达30帧/秒，呈现清晰逼真的高清视频，生动地展现人物的表情和动作；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2.具有10倍光学变倍镜头；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3.注重图像的智能处理，提供自动白平衡（AWB）、自动曝光（AE)、自动聚焦（AF)功能，完全自动适应环境，实现最佳的图像效果，达到完美三位一体图像自动调节；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4.低噪声CMOS有效地保证了摄像机视频的超高信噪比。采用先进的2D、3D降噪技术，进一步降低了噪声，同时又能确保图像清晰度；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5.RS485、RS232；RS232支持级联，方便工程安装使用；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6.支持VISCA、PELCO-D、PELCO-P协议，支持自动识别协议；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7.采用高精度步进电机以及精密电机驱动控制器，确保云台运行平稳，并且无噪声；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8.支持低功耗休眠/唤醒，休眠时功耗低于400mw；</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9.支持≥255个预置位(遥控器设置调用为10个)。</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（四）全场景智慧平板</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1.外观尺吋 2236mm×1286mm×88mm，阳极氧化流砂锖窄金属边框设计；显示尺寸：100英寸；分辨率：3840×2160，采用A+级屏幕，4K 144Hz原生屏，宽度传输48Gbps；响应时间≤8ms，支持低蓝光护眼；屏占比≥96%；</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2.显示比例：16:9；可视角度：≥178；亮度：≥500cd/m²；对比度：≥5000:1。色域BT709≥130%，95% DCI-P3电影级广色域；屏幕色深≥10bit；灰阶分辨等级256级；第四代AI-SR超解像技术，AI-NR全局自降噪技术；高色彩精准度ΔE≤1.0，AI-PQ对象感知技术，根据显示内容实现画质自适应优化调节；Care+舒适视觉技术，自动控制亮度、色温、低蓝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3.采用国产画质芯片；DLED背光源，ULED全阵列动态背光显示，384分区独立控光；采用直流调光无频闪技术；支持HDR10+；支持MEMC；支持ALLM自动低延迟；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4.整机预置安卓系统版本11.0，64位CPU采用64位4核A73，GPU采用G52，支持4K 60FPS编解码能力，系统内存4GB，存储容量128GB；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5.内置2.1扬声系统：功率为15W*2（全频）+20W*1（1.3L独立音腔超潜低音炮），拥有3个发音单元，支持DTS X+Dolby MS12双音频解码，支持Dolby Atmos杜比全景声；支持Hi-Sound PRO技术，通过空间感知和内容感知，构建AI虚拟场景模型，自适应匹配空间场景下的音效方案；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6.内置双WiFi和蓝牙：上网WiFi6*1(用途Station+P2P，支持IPV6)、投屏AP热点WiFi5*1（用途AP，支持IPV6,）；整机支持蓝牙5.1；</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7.支持H.323和SIP标准协议，并支持该协议下的安全加密，远程会议支持实时中英文字幕翻译；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8.支持同时连接传屏宝数量≥16个，同时投屏4个，画面可分别投屏到同一屏幕上，通过按键切换传输不同外部电脑的投屏内容；支持全屏/二/三/四分屏。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（五）视频会议终端主机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采用分体式结构，嵌入式架构，非PC、非工控机架构。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采用国产自主的操作系统及编解码处理芯片。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3</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终端主要元器件须国产自主，至少包括视音频编解码单元、CPU处理单元、可编程逻辑芯片、电源模块、时钟芯片、视频输入输出芯片等，提供第三方权威机构检测报告证明。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4</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支持64Kbps-8Mbps呼叫带宽。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5</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支持ITU-T H.323、IETF SIP协议，具有良好的兼容性和开放性。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6</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支持H.264 BP、H.264 HP、H.265等图像编码协议。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7</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支持4K30fps、1080p60fps、1080p30fps、720p60 fps、720p30fps等分辨率。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8</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支持G.711、G.722、G.722.1C、G.729A、AAC-LD、Opus等音频协议，支持双声道立体声功能。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9</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支持外接数字阵列麦克风，麦克风拾音距离≥6米。</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10</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支持H.239和BFCP双流协议。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11</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支持≥3路高清视频输入接口、≥2路高清视频输出接口。</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12</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支持≥6路音频输入接口、≥5路音频输出接口，至少具备卡侬头、RCA等音频接口。</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13</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支持摄像头一线连接终端，实现同时传输视频信号、控制信号和摄像头供电，提供第三方权威机构检测报告证明。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14</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支持高清视频信号远距离传输，通过以太网线无需借助额外设备，1080P60fps高清信号传输距离不少于120米，提供第三方权威机构检测报告证明。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15</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支持不少于2个10M/100M/1000M自适应网口。</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16</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支持30%网络丢包时，语音清晰连续，视频清晰流畅，无卡顿、无马赛克，提供第三方权威机构检测报告证明。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17</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1Mbps会议带宽下，实现4K30帧图像格式编解码；支持512Kbps会议带宽下，实现1080P60帧图像格式编解码；384Kbps会议带宽下，实现1080P30帧图像格式编解码；256Kbps会议带宽下，实现720P30帧图像格式编解码，提供第三方权威机构检测报告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18</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支持IP网络升降速，可根据IP网络带宽的变化，自动调整会议中视音频带宽，保证图像语音质量良好。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19</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视频画面经过本地采集、编码、网络传输、解码、显示输出后整体时延不超过120ms，提供第三方权威机构检测报告证明。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20</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支持IPv4和IPv6双协议栈。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21</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支持单屏三显功能，在一个显示设备上显示远端图像、本端图像及双流图像。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22</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支持终端上电开机后，自动调用摄像机的预置位，无须人工干预。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23．支持断点续传功能，终端升级过程中发生网络中断、断电重启，恢复后可断点续传，避免升级失败。</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24</w:t>
      </w:r>
      <w:r>
        <w:rPr>
          <w:rFonts w:hint="default" w:ascii="Times New Roman" w:hAnsi="Times New Roman" w:cs="Times New Roman" w:eastAsiaTheme="minorEastAsia"/>
          <w:b w:val="0"/>
          <w:bCs/>
          <w:color w:val="auto"/>
          <w:sz w:val="24"/>
          <w:szCs w:val="24"/>
          <w:highlight w:val="none"/>
          <w:shd w:val="clear" w:color="auto" w:fill="auto"/>
          <w:lang w:val="en-US" w:eastAsia="zh-CN"/>
        </w:rPr>
        <w:t>.</w:t>
      </w:r>
      <w:r>
        <w:rPr>
          <w:rFonts w:hint="default" w:ascii="Times New Roman" w:hAnsi="Times New Roman" w:cs="Times New Roman" w:eastAsiaTheme="minorEastAsia"/>
          <w:b w:val="0"/>
          <w:bCs/>
          <w:color w:val="auto"/>
          <w:sz w:val="24"/>
          <w:szCs w:val="24"/>
          <w:highlight w:val="none"/>
          <w:shd w:val="clear" w:color="auto" w:fill="auto"/>
        </w:rPr>
        <w:t>为保障产品服务质量，所投产品需提供原厂售后服务承诺函。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lang w:val="en-US" w:eastAsia="zh-CN"/>
        </w:rPr>
        <w:t>25.</w:t>
      </w:r>
      <w:r>
        <w:rPr>
          <w:rFonts w:hint="default" w:ascii="Times New Roman" w:hAnsi="Times New Roman" w:cs="Times New Roman" w:eastAsiaTheme="minorEastAsia"/>
          <w:b w:val="0"/>
          <w:bCs/>
          <w:color w:val="auto"/>
          <w:sz w:val="24"/>
          <w:szCs w:val="24"/>
          <w:highlight w:val="none"/>
          <w:shd w:val="clear" w:color="auto" w:fill="auto"/>
        </w:rPr>
        <w:t>该设备需接入现有的专用视频会议系统。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（六）视频会议摄像机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1.支持≥851万像素1/2.5英寸CMOS成像芯片，支持1080P60fps、1080P30fps等视频输出格式；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2.支持12倍光学变焦；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3.水平视角80°、水平转动范围：+/-110°，垂直转动范围：+/- 30°；</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4.支持图像倒转功能，方便摄像机安装在天花板上；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5.支持红外透传功能；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6.支持自动白平衡（AWB）、自动曝光（AE）、自动聚焦（AF）功能；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rPr>
      </w:pPr>
      <w:r>
        <w:rPr>
          <w:rFonts w:hint="default" w:ascii="Times New Roman" w:hAnsi="Times New Roman" w:cs="Times New Roman" w:eastAsiaTheme="minorEastAsia"/>
          <w:b w:val="0"/>
          <w:bCs/>
          <w:color w:val="auto"/>
          <w:sz w:val="24"/>
          <w:szCs w:val="24"/>
          <w:highlight w:val="none"/>
          <w:shd w:val="clear" w:color="auto" w:fill="auto"/>
        </w:rPr>
        <w:t>7.为保证兼容性，需要与会议终端为同品牌。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（七）会议音响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1.系统类型：≤8英寸，2分频；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2.额定功率：≥150W；</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3.峰值功率：≥480W；</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4.额定阻抗：8Ω；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5.频率范围(-10dB)：50Hz-20KHz；</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6.频率响应(±3dB)：85Hz-20KHz；</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7.灵敏度(1w/1m)1：≥95dB；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8.最大声压级输出：≥122dB(峰值≥128dB)；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9.覆盖角：70°×100°(H×V)；</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★注：提供具有CMA、CNAS认证标识的检验报告复印件并加盖供应商公章。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（八）功率放大器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1.≥双通道专业功放，经典变压器供电；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2.输出功率：≥2*</w:t>
      </w:r>
      <w:r>
        <w:rPr>
          <w:rFonts w:hint="eastAsia" w:ascii="Times New Roman" w:hAnsi="Times New Roman" w:cs="Times New Roman" w:eastAsiaTheme="minorEastAsia"/>
          <w:b w:val="0"/>
          <w:bCs/>
          <w:color w:val="auto"/>
          <w:sz w:val="24"/>
          <w:szCs w:val="24"/>
          <w:highlight w:val="none"/>
          <w:shd w:val="clear" w:color="auto" w:fill="auto"/>
          <w:lang w:val="en-US" w:eastAsia="zh-CN"/>
        </w:rPr>
        <w:t>250</w:t>
      </w:r>
      <w:r>
        <w:rPr>
          <w:rFonts w:hint="default" w:ascii="Times New Roman" w:hAnsi="Times New Roman" w:cs="Times New Roman" w:eastAsiaTheme="minorEastAsia"/>
          <w:b w:val="0"/>
          <w:bCs/>
          <w:color w:val="auto"/>
          <w:sz w:val="24"/>
          <w:szCs w:val="24"/>
          <w:highlight w:val="none"/>
          <w:shd w:val="clear" w:color="auto" w:fill="auto"/>
          <w:lang w:eastAsia="zh-CN"/>
        </w:rPr>
        <w:t>W/8Ω，≥2*</w:t>
      </w:r>
      <w:r>
        <w:rPr>
          <w:rFonts w:hint="eastAsia" w:ascii="Times New Roman" w:hAnsi="Times New Roman" w:cs="Times New Roman" w:eastAsiaTheme="minorEastAsia"/>
          <w:b w:val="0"/>
          <w:bCs/>
          <w:color w:val="auto"/>
          <w:sz w:val="24"/>
          <w:szCs w:val="24"/>
          <w:highlight w:val="none"/>
          <w:shd w:val="clear" w:color="auto" w:fill="auto"/>
          <w:lang w:val="en-US" w:eastAsia="zh-CN"/>
        </w:rPr>
        <w:t>350</w:t>
      </w:r>
      <w:r>
        <w:rPr>
          <w:rFonts w:hint="default" w:ascii="Times New Roman" w:hAnsi="Times New Roman" w:cs="Times New Roman" w:eastAsiaTheme="minorEastAsia"/>
          <w:b w:val="0"/>
          <w:bCs/>
          <w:color w:val="auto"/>
          <w:sz w:val="24"/>
          <w:szCs w:val="24"/>
          <w:highlight w:val="none"/>
          <w:shd w:val="clear" w:color="auto" w:fill="auto"/>
          <w:lang w:eastAsia="zh-CN"/>
        </w:rPr>
        <w:t>W/4Ω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3.灵敏度：0.775/1.0/1.4V；</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4.总谐波失真：&lt;0.5%</w:t>
      </w:r>
      <w:r>
        <w:rPr>
          <w:rFonts w:hint="eastAsia" w:ascii="Times New Roman" w:hAnsi="Times New Roman" w:cs="Times New Roman" w:eastAsiaTheme="minorEastAsia"/>
          <w:b w:val="0"/>
          <w:bCs/>
          <w:color w:val="auto"/>
          <w:sz w:val="24"/>
          <w:szCs w:val="24"/>
          <w:highlight w:val="none"/>
          <w:shd w:val="clear" w:color="auto" w:fill="auto"/>
          <w:lang w:eastAsia="zh-CN"/>
        </w:rPr>
        <w:t>，</w:t>
      </w:r>
      <w:r>
        <w:rPr>
          <w:rFonts w:hint="default" w:ascii="Times New Roman" w:hAnsi="Times New Roman" w:cs="Times New Roman" w:eastAsiaTheme="minorEastAsia"/>
          <w:b w:val="0"/>
          <w:bCs/>
          <w:color w:val="auto"/>
          <w:sz w:val="24"/>
          <w:szCs w:val="24"/>
          <w:highlight w:val="none"/>
          <w:shd w:val="clear" w:color="auto" w:fill="auto"/>
          <w:lang w:eastAsia="zh-CN"/>
        </w:rPr>
        <w:t>1KHz，8Ω；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5.频率响应：20Hz-20KHz</w:t>
      </w:r>
      <w:r>
        <w:rPr>
          <w:rFonts w:hint="eastAsia" w:ascii="Times New Roman" w:hAnsi="Times New Roman" w:cs="Times New Roman" w:eastAsiaTheme="minorEastAsia"/>
          <w:b w:val="0"/>
          <w:bCs/>
          <w:color w:val="auto"/>
          <w:sz w:val="24"/>
          <w:szCs w:val="24"/>
          <w:highlight w:val="none"/>
          <w:shd w:val="clear" w:color="auto" w:fill="auto"/>
          <w:lang w:eastAsia="zh-CN"/>
        </w:rPr>
        <w:t>，</w:t>
      </w:r>
      <w:r>
        <w:rPr>
          <w:rFonts w:hint="default" w:ascii="Times New Roman" w:hAnsi="Times New Roman" w:cs="Times New Roman" w:eastAsiaTheme="minorEastAsia"/>
          <w:b w:val="0"/>
          <w:bCs/>
          <w:color w:val="auto"/>
          <w:sz w:val="24"/>
          <w:szCs w:val="24"/>
          <w:highlight w:val="none"/>
          <w:shd w:val="clear" w:color="auto" w:fill="auto"/>
          <w:lang w:eastAsia="zh-CN"/>
        </w:rPr>
        <w:t>±0.5dB；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6.阻尼系数：≥250；</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7.信躁比：</w:t>
      </w:r>
      <w:r>
        <w:rPr>
          <w:rFonts w:hint="eastAsia" w:ascii="Times New Roman" w:hAnsi="Times New Roman" w:cs="Times New Roman" w:eastAsiaTheme="minorEastAsia"/>
          <w:b w:val="0"/>
          <w:bCs/>
          <w:color w:val="auto"/>
          <w:sz w:val="24"/>
          <w:szCs w:val="24"/>
          <w:highlight w:val="none"/>
          <w:shd w:val="clear" w:color="auto" w:fill="auto"/>
          <w:lang w:val="en-US" w:eastAsia="zh-CN"/>
        </w:rPr>
        <w:t>105</w:t>
      </w:r>
      <w:r>
        <w:rPr>
          <w:rFonts w:hint="default" w:ascii="Times New Roman" w:hAnsi="Times New Roman" w:cs="Times New Roman" w:eastAsiaTheme="minorEastAsia"/>
          <w:b w:val="0"/>
          <w:bCs/>
          <w:color w:val="auto"/>
          <w:sz w:val="24"/>
          <w:szCs w:val="24"/>
          <w:highlight w:val="none"/>
          <w:shd w:val="clear" w:color="auto" w:fill="auto"/>
          <w:lang w:eastAsia="zh-CN"/>
        </w:rPr>
        <w:t>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val="en-US" w:eastAsia="zh-CN"/>
        </w:rPr>
      </w:pPr>
      <w:r>
        <w:rPr>
          <w:rFonts w:hint="eastAsia" w:ascii="Times New Roman" w:hAnsi="Times New Roman" w:cs="Times New Roman" w:eastAsiaTheme="minorEastAsia"/>
          <w:b w:val="0"/>
          <w:bCs/>
          <w:color w:val="auto"/>
          <w:sz w:val="24"/>
          <w:szCs w:val="24"/>
          <w:highlight w:val="none"/>
          <w:shd w:val="clear" w:color="auto" w:fill="auto"/>
          <w:lang w:val="en-US" w:eastAsia="zh-CN"/>
        </w:rPr>
        <w:t xml:space="preserve">8.桥接功率：900W/8Ω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val="en-US" w:eastAsia="zh-CN"/>
        </w:rPr>
      </w:pPr>
      <w:r>
        <w:rPr>
          <w:rFonts w:hint="eastAsia" w:ascii="Times New Roman" w:hAnsi="Times New Roman" w:cs="Times New Roman" w:eastAsiaTheme="minorEastAsia"/>
          <w:b w:val="0"/>
          <w:bCs/>
          <w:color w:val="auto"/>
          <w:sz w:val="24"/>
          <w:szCs w:val="24"/>
          <w:highlight w:val="none"/>
          <w:shd w:val="clear" w:color="auto" w:fill="auto"/>
          <w:lang w:val="en-US" w:eastAsia="zh-CN"/>
        </w:rPr>
        <w:t>9.输入灵敏度：500MV</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val="en-US" w:eastAsia="zh-CN"/>
        </w:rPr>
      </w:pPr>
      <w:r>
        <w:rPr>
          <w:rFonts w:hint="eastAsia" w:ascii="Times New Roman" w:hAnsi="Times New Roman" w:cs="Times New Roman" w:eastAsiaTheme="minorEastAsia"/>
          <w:b w:val="0"/>
          <w:bCs/>
          <w:color w:val="auto"/>
          <w:sz w:val="24"/>
          <w:szCs w:val="24"/>
          <w:highlight w:val="none"/>
          <w:shd w:val="clear" w:color="auto" w:fill="auto"/>
          <w:lang w:val="en-US" w:eastAsia="zh-CN"/>
        </w:rPr>
        <w:t>10.输入阻抗：20KΩ10KΩ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★提供具有CMA、CNAS认证标识的检验报告复印件并加盖供应商公章。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★提供中国节能环保产品证书。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（九）8路电源时序器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1.≥2寸液晶彩屏，微电脑控制，可扩展联机工作；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2.内置时钟芯片，支持自定义编程，定时自动开关机；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3.输出通道延时可编辑，可设定≥8组场景数据；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4.单路独立开关功能：支持面板独立控制；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5.具有RS232、RS485接口和LAN网口，支持中控控制功能；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6.支持手机APP控制，支持PC上位机软件操作；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★提供具有CMA、CNAS认证标识的检验报告复印件并加盖供应商公章。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（十）8路调音台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1.≥6路Mic输入接口兼容≥6路线路输入接口，带48V幻象电源；</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2.≥2组立体声输入，可连接立体声设备；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3.每路单声道输入通道设有≥3段EQ（立体声≥两段），内置≥7段立体声均衡器，设有峰值指示灯；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4.≥2组立体声主输出、≥2组辅助输出、≥2编组输出、≥1组立体声监听输出、≥1路返回、≥1路耳机监听输出、≥1组CD/Tape输出；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5.内置≥24位DSP效果器；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6.蓝牙、MP3、大屏播放器、USB带声卡功能、USB电脑录音、U盘录音直录；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7.麦克风输入：≥6路卡侬/6.35复用接口；</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仿宋" w:cs="Times New Roman"/>
          <w:b w:val="0"/>
          <w:bCs/>
          <w:color w:val="auto"/>
          <w:sz w:val="21"/>
          <w:szCs w:val="21"/>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8.线路输入：≥6路单插单声道/立体声自动切换混合接口</w:t>
      </w:r>
      <w:r>
        <w:rPr>
          <w:rFonts w:hint="default" w:ascii="Times New Roman" w:hAnsi="Times New Roman" w:eastAsia="仿宋" w:cs="Times New Roman"/>
          <w:b w:val="0"/>
          <w:bCs/>
          <w:color w:val="auto"/>
          <w:sz w:val="21"/>
          <w:szCs w:val="21"/>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9.立体声输入：≥2组；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10.CD/Tape输入：≥1路CD/TAPE RCA立体声输入接口；</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11.输出通路：≥2组立体声主输出、2组辅助输出、2编组输出、1组立体声监听输出、1路耳机监听输出、1组CD/Tape输出；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12.效果器：≥24位DSP效果器（包括人声、小房子、大厅、回声、回声+回响、盘子、声乐板、合唱GTR，旋转GTR、颤音GTR类型）。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（十一）无线话筒（桌面式）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w:t>
      </w:r>
      <w:r>
        <w:rPr>
          <w:rFonts w:hint="default" w:ascii="Times New Roman" w:hAnsi="Times New Roman" w:cs="Times New Roman" w:eastAsiaTheme="minorEastAsia"/>
          <w:b w:val="0"/>
          <w:bCs/>
          <w:color w:val="auto"/>
          <w:sz w:val="24"/>
          <w:szCs w:val="24"/>
          <w:highlight w:val="none"/>
          <w:shd w:val="clear" w:color="auto" w:fill="auto"/>
          <w:lang w:eastAsia="zh-CN"/>
        </w:rPr>
        <w:t>机箱规格：EIA 标准IU；</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2.</w:t>
      </w:r>
      <w:r>
        <w:rPr>
          <w:rFonts w:hint="default" w:ascii="Times New Roman" w:hAnsi="Times New Roman" w:cs="Times New Roman" w:eastAsiaTheme="minorEastAsia"/>
          <w:b w:val="0"/>
          <w:bCs/>
          <w:color w:val="auto"/>
          <w:sz w:val="24"/>
          <w:szCs w:val="24"/>
          <w:highlight w:val="none"/>
          <w:shd w:val="clear" w:color="auto" w:fill="auto"/>
          <w:lang w:eastAsia="zh-CN"/>
        </w:rPr>
        <w:t>通道组数：≥二通道；</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3.</w:t>
      </w:r>
      <w:r>
        <w:rPr>
          <w:rFonts w:hint="default" w:ascii="Times New Roman" w:hAnsi="Times New Roman" w:cs="Times New Roman" w:eastAsiaTheme="minorEastAsia"/>
          <w:b w:val="0"/>
          <w:bCs/>
          <w:color w:val="auto"/>
          <w:sz w:val="24"/>
          <w:szCs w:val="24"/>
          <w:highlight w:val="none"/>
          <w:shd w:val="clear" w:color="auto" w:fill="auto"/>
          <w:lang w:eastAsia="zh-CN"/>
        </w:rPr>
        <w:t>频率响应：55Hz～16KHz ± 3dB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4.</w:t>
      </w:r>
      <w:r>
        <w:rPr>
          <w:rFonts w:hint="default" w:ascii="Times New Roman" w:hAnsi="Times New Roman" w:cs="Times New Roman" w:eastAsiaTheme="minorEastAsia"/>
          <w:b w:val="0"/>
          <w:bCs/>
          <w:color w:val="auto"/>
          <w:sz w:val="24"/>
          <w:szCs w:val="24"/>
          <w:highlight w:val="none"/>
          <w:shd w:val="clear" w:color="auto" w:fill="auto"/>
          <w:lang w:eastAsia="zh-CN"/>
        </w:rPr>
        <w:t>频率范围: 615MHz-665MHz；</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5.</w:t>
      </w:r>
      <w:r>
        <w:rPr>
          <w:rFonts w:hint="default" w:ascii="Times New Roman" w:hAnsi="Times New Roman" w:cs="Times New Roman" w:eastAsiaTheme="minorEastAsia"/>
          <w:b w:val="0"/>
          <w:bCs/>
          <w:color w:val="auto"/>
          <w:sz w:val="24"/>
          <w:szCs w:val="24"/>
          <w:highlight w:val="none"/>
          <w:shd w:val="clear" w:color="auto" w:fill="auto"/>
          <w:lang w:eastAsia="zh-CN"/>
        </w:rPr>
        <w:t>调制方式: FM；</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6.</w:t>
      </w:r>
      <w:r>
        <w:rPr>
          <w:rFonts w:hint="default" w:ascii="Times New Roman" w:hAnsi="Times New Roman" w:cs="Times New Roman" w:eastAsiaTheme="minorEastAsia"/>
          <w:b w:val="0"/>
          <w:bCs/>
          <w:color w:val="auto"/>
          <w:sz w:val="24"/>
          <w:szCs w:val="24"/>
          <w:highlight w:val="none"/>
          <w:shd w:val="clear" w:color="auto" w:fill="auto"/>
          <w:lang w:eastAsia="zh-CN"/>
        </w:rPr>
        <w:t>信道数目: ≥200个；</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7.</w:t>
      </w:r>
      <w:r>
        <w:rPr>
          <w:rFonts w:hint="default" w:ascii="Times New Roman" w:hAnsi="Times New Roman" w:cs="Times New Roman" w:eastAsiaTheme="minorEastAsia"/>
          <w:b w:val="0"/>
          <w:bCs/>
          <w:color w:val="auto"/>
          <w:sz w:val="24"/>
          <w:szCs w:val="24"/>
          <w:highlight w:val="none"/>
          <w:shd w:val="clear" w:color="auto" w:fill="auto"/>
          <w:lang w:eastAsia="zh-CN"/>
        </w:rPr>
        <w:t>信道间隔: 50KHZ；</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8.</w:t>
      </w:r>
      <w:r>
        <w:rPr>
          <w:rFonts w:hint="default" w:ascii="Times New Roman" w:hAnsi="Times New Roman" w:cs="Times New Roman" w:eastAsiaTheme="minorEastAsia"/>
          <w:b w:val="0"/>
          <w:bCs/>
          <w:color w:val="auto"/>
          <w:sz w:val="24"/>
          <w:szCs w:val="24"/>
          <w:highlight w:val="none"/>
          <w:shd w:val="clear" w:color="auto" w:fill="auto"/>
          <w:lang w:eastAsia="zh-CN"/>
        </w:rPr>
        <w:t>频率稳定度: ±0.005%；</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9.</w:t>
      </w:r>
      <w:r>
        <w:rPr>
          <w:rFonts w:hint="default" w:ascii="Times New Roman" w:hAnsi="Times New Roman" w:cs="Times New Roman" w:eastAsiaTheme="minorEastAsia"/>
          <w:b w:val="0"/>
          <w:bCs/>
          <w:color w:val="auto"/>
          <w:sz w:val="24"/>
          <w:szCs w:val="24"/>
          <w:highlight w:val="none"/>
          <w:shd w:val="clear" w:color="auto" w:fill="auto"/>
          <w:lang w:eastAsia="zh-CN"/>
        </w:rPr>
        <w:t>动态范围: 100db；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10.</w:t>
      </w:r>
      <w:r>
        <w:rPr>
          <w:rFonts w:hint="default" w:ascii="Times New Roman" w:hAnsi="Times New Roman" w:cs="Times New Roman" w:eastAsiaTheme="minorEastAsia"/>
          <w:b w:val="0"/>
          <w:bCs/>
          <w:color w:val="auto"/>
          <w:sz w:val="24"/>
          <w:szCs w:val="24"/>
          <w:highlight w:val="none"/>
          <w:shd w:val="clear" w:color="auto" w:fill="auto"/>
          <w:lang w:eastAsia="zh-CN"/>
        </w:rPr>
        <w:t>最大偏移: ±45KHZ；</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11.</w:t>
      </w:r>
      <w:r>
        <w:rPr>
          <w:rFonts w:hint="default" w:ascii="Times New Roman" w:hAnsi="Times New Roman" w:cs="Times New Roman" w:eastAsiaTheme="minorEastAsia"/>
          <w:b w:val="0"/>
          <w:bCs/>
          <w:color w:val="auto"/>
          <w:sz w:val="24"/>
          <w:szCs w:val="24"/>
          <w:highlight w:val="none"/>
          <w:shd w:val="clear" w:color="auto" w:fill="auto"/>
          <w:lang w:eastAsia="zh-CN"/>
        </w:rPr>
        <w:t>音频频率响应: 40HZ-18KHZ(±2db)；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12.</w:t>
      </w:r>
      <w:r>
        <w:rPr>
          <w:rFonts w:hint="default" w:ascii="Times New Roman" w:hAnsi="Times New Roman" w:cs="Times New Roman" w:eastAsiaTheme="minorEastAsia"/>
          <w:b w:val="0"/>
          <w:bCs/>
          <w:color w:val="auto"/>
          <w:sz w:val="24"/>
          <w:szCs w:val="24"/>
          <w:highlight w:val="none"/>
          <w:shd w:val="clear" w:color="auto" w:fill="auto"/>
          <w:lang w:eastAsia="zh-CN"/>
        </w:rPr>
        <w:t>综合信噪比: &gt;105db；</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13.</w:t>
      </w:r>
      <w:r>
        <w:rPr>
          <w:rFonts w:hint="default" w:ascii="Times New Roman" w:hAnsi="Times New Roman" w:cs="Times New Roman" w:eastAsiaTheme="minorEastAsia"/>
          <w:b w:val="0"/>
          <w:bCs/>
          <w:color w:val="auto"/>
          <w:sz w:val="24"/>
          <w:szCs w:val="24"/>
          <w:highlight w:val="none"/>
          <w:shd w:val="clear" w:color="auto" w:fill="auto"/>
          <w:lang w:eastAsia="zh-CN"/>
        </w:rPr>
        <w:t>综合失真：≤0.5%；</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14.</w:t>
      </w:r>
      <w:r>
        <w:rPr>
          <w:rFonts w:hint="default" w:ascii="Times New Roman" w:hAnsi="Times New Roman" w:cs="Times New Roman" w:eastAsiaTheme="minorEastAsia"/>
          <w:b w:val="0"/>
          <w:bCs/>
          <w:color w:val="auto"/>
          <w:sz w:val="24"/>
          <w:szCs w:val="24"/>
          <w:highlight w:val="none"/>
          <w:shd w:val="clear" w:color="auto" w:fill="auto"/>
          <w:lang w:eastAsia="zh-CN"/>
        </w:rPr>
        <w:t>工作环境温度：-10℃~+50℃；</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15.</w:t>
      </w:r>
      <w:r>
        <w:rPr>
          <w:rFonts w:hint="default" w:ascii="Times New Roman" w:hAnsi="Times New Roman" w:cs="Times New Roman" w:eastAsiaTheme="minorEastAsia"/>
          <w:b w:val="0"/>
          <w:bCs/>
          <w:color w:val="auto"/>
          <w:sz w:val="24"/>
          <w:szCs w:val="24"/>
          <w:highlight w:val="none"/>
          <w:shd w:val="clear" w:color="auto" w:fill="auto"/>
          <w:lang w:eastAsia="zh-CN"/>
        </w:rPr>
        <w:t>工作有效距离：≥150米以上（空阔地方）；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16.</w:t>
      </w:r>
      <w:r>
        <w:rPr>
          <w:rFonts w:hint="default" w:ascii="Times New Roman" w:hAnsi="Times New Roman" w:cs="Times New Roman" w:eastAsiaTheme="minorEastAsia"/>
          <w:b w:val="0"/>
          <w:bCs/>
          <w:color w:val="auto"/>
          <w:sz w:val="24"/>
          <w:szCs w:val="24"/>
          <w:highlight w:val="none"/>
          <w:shd w:val="clear" w:color="auto" w:fill="auto"/>
          <w:lang w:eastAsia="zh-CN"/>
        </w:rPr>
        <w:t xml:space="preserve">振荡方式：PLL相位锁定频率合成；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17.</w:t>
      </w:r>
      <w:r>
        <w:rPr>
          <w:rFonts w:hint="default" w:ascii="Times New Roman" w:hAnsi="Times New Roman" w:cs="Times New Roman" w:eastAsiaTheme="minorEastAsia"/>
          <w:b w:val="0"/>
          <w:bCs/>
          <w:color w:val="auto"/>
          <w:sz w:val="24"/>
          <w:szCs w:val="24"/>
          <w:highlight w:val="none"/>
          <w:shd w:val="clear" w:color="auto" w:fill="auto"/>
          <w:lang w:eastAsia="zh-CN"/>
        </w:rPr>
        <w:t>输出插座：≥1路MIXOUT6.35混合输出  ≥2路BALOUT独立输出；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val="en-US" w:eastAsia="zh-CN"/>
        </w:rPr>
        <w:t>18.</w:t>
      </w:r>
      <w:r>
        <w:rPr>
          <w:rFonts w:hint="default" w:ascii="Times New Roman" w:hAnsi="Times New Roman" w:cs="Times New Roman" w:eastAsiaTheme="minorEastAsia"/>
          <w:b w:val="0"/>
          <w:bCs/>
          <w:color w:val="auto"/>
          <w:sz w:val="24"/>
          <w:szCs w:val="24"/>
          <w:highlight w:val="none"/>
          <w:shd w:val="clear" w:color="auto" w:fill="auto"/>
          <w:lang w:eastAsia="zh-CN"/>
        </w:rPr>
        <w:t>输入电压：DC12—DC15V   1000mA；</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eastAsiaTheme="minorEastAsia"/>
          <w:b w:val="0"/>
          <w:bCs/>
          <w:color w:val="auto"/>
          <w:sz w:val="24"/>
          <w:szCs w:val="24"/>
          <w:highlight w:val="none"/>
          <w:shd w:val="clear" w:color="auto" w:fill="auto"/>
          <w:lang w:eastAsia="zh-CN"/>
        </w:rPr>
      </w:pPr>
      <w:r>
        <w:rPr>
          <w:rFonts w:hint="default" w:ascii="Times New Roman" w:hAnsi="Times New Roman" w:cs="Times New Roman" w:eastAsiaTheme="minorEastAsia"/>
          <w:b w:val="0"/>
          <w:bCs/>
          <w:color w:val="auto"/>
          <w:sz w:val="24"/>
          <w:szCs w:val="24"/>
          <w:highlight w:val="none"/>
          <w:shd w:val="clear" w:color="auto" w:fill="auto"/>
          <w:lang w:eastAsia="zh-CN"/>
        </w:rPr>
        <w:t>★提供具有CMA、CNAS认证标识的检验报告复印件并加盖供应商公章。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（十二）设备机柜</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Chars="0" w:firstLine="480" w:firstLineChars="200"/>
        <w:textAlignment w:val="auto"/>
        <w:rPr>
          <w:rFonts w:hint="default" w:ascii="Times New Roman" w:hAnsi="Times New Roman" w:cs="Times New Roman" w:eastAsiaTheme="minorEastAsia"/>
          <w:b w:val="0"/>
          <w:bCs/>
          <w:color w:val="auto"/>
          <w:kern w:val="2"/>
          <w:sz w:val="24"/>
          <w:szCs w:val="24"/>
          <w:highlight w:val="none"/>
          <w:shd w:val="clear" w:color="auto" w:fill="auto"/>
          <w:lang w:val="en-US" w:eastAsia="zh-CN" w:bidi="ar-SA"/>
        </w:rPr>
      </w:pPr>
      <w:r>
        <w:rPr>
          <w:rFonts w:hint="default" w:ascii="Times New Roman" w:hAnsi="Times New Roman" w:cs="Times New Roman" w:eastAsiaTheme="minorEastAsia"/>
          <w:b w:val="0"/>
          <w:bCs/>
          <w:color w:val="auto"/>
          <w:kern w:val="2"/>
          <w:sz w:val="24"/>
          <w:szCs w:val="24"/>
          <w:highlight w:val="none"/>
          <w:shd w:val="clear" w:color="auto" w:fill="auto"/>
          <w:lang w:val="en-US" w:eastAsia="zh-CN" w:bidi="ar-SA"/>
        </w:rPr>
        <w:t>规格：600mm（宽）×1000mm（高）×600mm（深），材质为冷轧钢板，厚度≥1.2mm，含安装配件及理线架”。</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Chars="0" w:firstLine="480" w:firstLineChars="200"/>
        <w:textAlignment w:val="auto"/>
        <w:rPr>
          <w:rFonts w:hint="default" w:ascii="Times New Roman" w:hAnsi="Times New Roman" w:eastAsia="方正黑体_GBK" w:cs="Times New Roman"/>
          <w:b w:val="0"/>
          <w:bCs/>
          <w:color w:val="auto"/>
          <w:kern w:val="2"/>
          <w:sz w:val="24"/>
          <w:szCs w:val="24"/>
          <w:highlight w:val="none"/>
          <w:shd w:val="clear" w:color="auto" w:fill="auto"/>
          <w:lang w:val="en-US" w:eastAsia="zh-CN" w:bidi="ar-SA"/>
        </w:rPr>
      </w:pPr>
      <w:r>
        <w:rPr>
          <w:rFonts w:hint="default" w:ascii="Times New Roman" w:hAnsi="Times New Roman" w:eastAsia="方正黑体_GBK" w:cs="Times New Roman"/>
          <w:b w:val="0"/>
          <w:bCs/>
          <w:color w:val="auto"/>
          <w:kern w:val="2"/>
          <w:sz w:val="24"/>
          <w:szCs w:val="24"/>
          <w:highlight w:val="none"/>
          <w:shd w:val="clear" w:color="auto" w:fill="auto"/>
          <w:lang w:val="en-US" w:eastAsia="zh-CN" w:bidi="ar-SA"/>
        </w:rPr>
        <w:t>三、技术及服务响应</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Chars="0" w:firstLine="480" w:firstLineChars="200"/>
        <w:textAlignment w:val="auto"/>
        <w:rPr>
          <w:rFonts w:hint="default" w:ascii="Times New Roman" w:hAnsi="Times New Roman" w:cs="Times New Roman" w:eastAsiaTheme="minorEastAsia"/>
          <w:b w:val="0"/>
          <w:bCs/>
          <w:color w:val="auto"/>
          <w:kern w:val="2"/>
          <w:sz w:val="24"/>
          <w:szCs w:val="24"/>
          <w:highlight w:val="none"/>
          <w:shd w:val="clear" w:color="auto" w:fill="auto"/>
          <w:lang w:val="en-US" w:eastAsia="zh-CN" w:bidi="ar-SA"/>
        </w:rPr>
      </w:pPr>
      <w:r>
        <w:rPr>
          <w:rFonts w:hint="default" w:ascii="Times New Roman" w:hAnsi="Times New Roman" w:cs="Times New Roman" w:eastAsiaTheme="minorEastAsia"/>
          <w:b w:val="0"/>
          <w:bCs/>
          <w:color w:val="auto"/>
          <w:kern w:val="2"/>
          <w:sz w:val="24"/>
          <w:szCs w:val="24"/>
          <w:highlight w:val="none"/>
          <w:shd w:val="clear" w:color="auto" w:fill="auto"/>
          <w:lang w:val="en-US" w:eastAsia="zh-CN" w:bidi="ar-SA"/>
        </w:rPr>
        <w:t>根据本项目的技术参数和规格要求，供应商必须做出相应的响应。设备技术参数不得低于比选文件要求；性能指标应达到或超过规定的标准，任何偏离都必须做出偏离表，也可以增加更好的功能，以便响应。</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Chars="0" w:firstLine="480" w:firstLineChars="200"/>
        <w:textAlignment w:val="auto"/>
        <w:rPr>
          <w:rFonts w:hint="default" w:ascii="Times New Roman" w:hAnsi="Times New Roman" w:cs="Times New Roman" w:eastAsiaTheme="minorEastAsia"/>
          <w:b w:val="0"/>
          <w:bCs/>
          <w:color w:val="auto"/>
          <w:kern w:val="2"/>
          <w:sz w:val="24"/>
          <w:szCs w:val="24"/>
          <w:highlight w:val="none"/>
          <w:shd w:val="clear" w:color="auto" w:fill="auto"/>
          <w:lang w:val="en-US" w:eastAsia="zh-CN" w:bidi="ar-SA"/>
        </w:rPr>
      </w:pPr>
      <w:r>
        <w:rPr>
          <w:rFonts w:hint="default" w:ascii="Times New Roman" w:hAnsi="Times New Roman" w:cs="Times New Roman" w:eastAsiaTheme="minorEastAsia"/>
          <w:b w:val="0"/>
          <w:bCs/>
          <w:color w:val="auto"/>
          <w:kern w:val="2"/>
          <w:sz w:val="24"/>
          <w:szCs w:val="24"/>
          <w:highlight w:val="none"/>
          <w:shd w:val="clear" w:color="auto" w:fill="auto"/>
          <w:lang w:val="en-US" w:eastAsia="zh-CN" w:bidi="ar-SA"/>
        </w:rPr>
        <w:t>2、中选人需在签订合同后提供所投产品要求的相关资料原件，如不提供或提供不全，取消其中标资格，并承担一切因此造成的损失（提供承诺书并加盖供应商公章，格式自拟）。</w:t>
      </w:r>
      <w:bookmarkEnd w:id="70"/>
      <w:bookmarkEnd w:id="71"/>
      <w:bookmarkEnd w:id="72"/>
      <w:bookmarkEnd w:id="73"/>
      <w:bookmarkEnd w:id="74"/>
      <w:bookmarkEnd w:id="75"/>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720" w:lineRule="exact"/>
        <w:jc w:val="center"/>
        <w:textAlignment w:val="auto"/>
        <w:outlineLvl w:val="0"/>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pPr>
      <w:r>
        <w:rPr>
          <w:rFonts w:hint="default" w:ascii="Times New Roman" w:hAnsi="Times New Roman" w:cs="Times New Roman" w:eastAsiaTheme="minorEastAsia"/>
          <w:b w:val="0"/>
          <w:bCs/>
          <w:color w:val="auto"/>
          <w:kern w:val="2"/>
          <w:sz w:val="24"/>
          <w:szCs w:val="24"/>
          <w:highlight w:val="none"/>
          <w:shd w:val="clear" w:color="auto" w:fill="auto"/>
          <w:lang w:val="en-US" w:eastAsia="zh-CN" w:bidi="ar-SA"/>
        </w:rPr>
        <w:br w:type="page"/>
      </w:r>
      <w:bookmarkStart w:id="77" w:name="_Toc15712"/>
      <w:r>
        <w:rPr>
          <w:rFonts w:hint="default" w:ascii="Times New Roman" w:hAnsi="Times New Roman" w:eastAsia="方正黑体_GBK" w:cs="Times New Roman"/>
          <w:b w:val="0"/>
          <w:bCs/>
          <w:color w:val="auto"/>
          <w:kern w:val="44"/>
          <w:sz w:val="32"/>
          <w:szCs w:val="24"/>
          <w:highlight w:val="none"/>
          <w:shd w:val="clear" w:color="auto" w:fill="auto"/>
          <w:lang w:val="en-US" w:eastAsia="zh-CN" w:bidi="ar-SA"/>
        </w:rPr>
        <w:t>第六篇 响应文件格式</w:t>
      </w:r>
      <w:bookmarkEnd w:id="77"/>
    </w:p>
    <w:p>
      <w:pPr>
        <w:keepNext w:val="0"/>
        <w:keepLines w:val="0"/>
        <w:pageBreakBefore w:val="0"/>
        <w:widowControl w:val="0"/>
        <w:tabs>
          <w:tab w:val="left" w:pos="6080"/>
          <w:tab w:val="left" w:pos="6640"/>
        </w:tabs>
        <w:kinsoku/>
        <w:wordWrap w:val="0"/>
        <w:overflowPunct/>
        <w:topLinePunct w:val="0"/>
        <w:autoSpaceDE w:val="0"/>
        <w:autoSpaceDN w:val="0"/>
        <w:bidi w:val="0"/>
        <w:adjustRightInd w:val="0"/>
        <w:snapToGrid w:val="0"/>
        <w:spacing w:before="761" w:beforeLines="200" w:line="600" w:lineRule="auto"/>
        <w:ind w:firstLine="1280" w:firstLineChars="400"/>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bCs w:val="0"/>
          <w:color w:val="auto"/>
          <w:highlight w:val="none"/>
          <w:u w:val="single"/>
          <w:shd w:val="clear" w:color="auto" w:fill="auto"/>
          <w:lang w:val="en-US" w:eastAsia="zh-CN"/>
        </w:rPr>
        <w:br w:type="page"/>
      </w:r>
      <w:r>
        <w:rPr>
          <w:rFonts w:hint="default" w:ascii="Times New Roman" w:hAnsi="Times New Roman" w:eastAsia="仿宋" w:cs="Times New Roman"/>
          <w:b/>
          <w:color w:val="auto"/>
          <w:kern w:val="0"/>
          <w:sz w:val="28"/>
          <w:highlight w:val="none"/>
          <w:u w:val="single"/>
        </w:rPr>
        <w:t xml:space="preserve">                                  （项目名称）</w:t>
      </w:r>
    </w:p>
    <w:p>
      <w:pPr>
        <w:pageBreakBefore w:val="0"/>
        <w:tabs>
          <w:tab w:val="left" w:pos="3600"/>
          <w:tab w:val="left" w:pos="4480"/>
          <w:tab w:val="left" w:pos="5360"/>
        </w:tabs>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color w:val="auto"/>
          <w:kern w:val="0"/>
          <w:sz w:val="44"/>
          <w:highlight w:val="none"/>
        </w:rPr>
      </w:pPr>
      <w:r>
        <w:rPr>
          <w:rFonts w:hint="default" w:ascii="Times New Roman" w:hAnsi="Times New Roman" w:eastAsia="仿宋" w:cs="Times New Roman"/>
          <w:color w:val="auto"/>
          <w:kern w:val="0"/>
          <w:sz w:val="44"/>
          <w:highlight w:val="none"/>
        </w:rPr>
        <w:t xml:space="preserve">          </w:t>
      </w:r>
    </w:p>
    <w:p>
      <w:pPr>
        <w:pageBreakBefore w:val="0"/>
        <w:tabs>
          <w:tab w:val="left" w:pos="3600"/>
          <w:tab w:val="left" w:pos="4480"/>
          <w:tab w:val="left" w:pos="5360"/>
        </w:tabs>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color w:val="auto"/>
          <w:kern w:val="0"/>
          <w:sz w:val="44"/>
          <w:highlight w:val="none"/>
        </w:rPr>
      </w:pPr>
    </w:p>
    <w:p>
      <w:pPr>
        <w:pageBreakBefore w:val="0"/>
        <w:tabs>
          <w:tab w:val="left" w:pos="3600"/>
          <w:tab w:val="left" w:pos="4480"/>
          <w:tab w:val="left" w:pos="5360"/>
        </w:tabs>
        <w:kinsoku/>
        <w:wordWrap w:val="0"/>
        <w:overflowPunct/>
        <w:topLinePunct w:val="0"/>
        <w:autoSpaceDE w:val="0"/>
        <w:autoSpaceDN w:val="0"/>
        <w:bidi w:val="0"/>
        <w:adjustRightInd w:val="0"/>
        <w:snapToGrid w:val="0"/>
        <w:spacing w:line="240" w:lineRule="auto"/>
        <w:jc w:val="center"/>
        <w:rPr>
          <w:rFonts w:hint="default" w:ascii="Times New Roman" w:hAnsi="Times New Roman" w:eastAsia="仿宋" w:cs="Times New Roman"/>
          <w:b/>
          <w:color w:val="auto"/>
          <w:kern w:val="0"/>
          <w:sz w:val="84"/>
          <w:highlight w:val="none"/>
        </w:rPr>
      </w:pPr>
    </w:p>
    <w:p>
      <w:pPr>
        <w:pageBreakBefore w:val="0"/>
        <w:tabs>
          <w:tab w:val="left" w:pos="3600"/>
          <w:tab w:val="left" w:pos="4480"/>
          <w:tab w:val="left" w:pos="5360"/>
        </w:tabs>
        <w:kinsoku/>
        <w:wordWrap w:val="0"/>
        <w:overflowPunct/>
        <w:topLinePunct w:val="0"/>
        <w:autoSpaceDE w:val="0"/>
        <w:autoSpaceDN w:val="0"/>
        <w:bidi w:val="0"/>
        <w:adjustRightInd w:val="0"/>
        <w:snapToGrid w:val="0"/>
        <w:spacing w:line="240" w:lineRule="auto"/>
        <w:jc w:val="center"/>
        <w:rPr>
          <w:rFonts w:hint="default" w:ascii="Times New Roman" w:hAnsi="Times New Roman" w:eastAsia="仿宋" w:cs="Times New Roman"/>
          <w:b/>
          <w:color w:val="auto"/>
          <w:kern w:val="0"/>
          <w:sz w:val="84"/>
          <w:highlight w:val="none"/>
        </w:rPr>
      </w:pPr>
    </w:p>
    <w:p>
      <w:pPr>
        <w:pageBreakBefore w:val="0"/>
        <w:tabs>
          <w:tab w:val="left" w:pos="3600"/>
          <w:tab w:val="left" w:pos="4480"/>
          <w:tab w:val="left" w:pos="5360"/>
        </w:tabs>
        <w:kinsoku/>
        <w:wordWrap w:val="0"/>
        <w:overflowPunct/>
        <w:topLinePunct w:val="0"/>
        <w:autoSpaceDE w:val="0"/>
        <w:autoSpaceDN w:val="0"/>
        <w:bidi w:val="0"/>
        <w:adjustRightInd w:val="0"/>
        <w:snapToGrid w:val="0"/>
        <w:spacing w:line="240" w:lineRule="auto"/>
        <w:jc w:val="center"/>
        <w:rPr>
          <w:rFonts w:hint="default" w:ascii="Times New Roman" w:hAnsi="Times New Roman" w:eastAsia="仿宋" w:cs="Times New Roman"/>
          <w:b/>
          <w:color w:val="auto"/>
          <w:kern w:val="0"/>
          <w:sz w:val="84"/>
          <w:highlight w:val="none"/>
        </w:rPr>
      </w:pPr>
    </w:p>
    <w:p>
      <w:pPr>
        <w:pageBreakBefore w:val="0"/>
        <w:tabs>
          <w:tab w:val="left" w:pos="3600"/>
          <w:tab w:val="left" w:pos="4480"/>
          <w:tab w:val="left" w:pos="5360"/>
        </w:tabs>
        <w:kinsoku/>
        <w:wordWrap w:val="0"/>
        <w:overflowPunct/>
        <w:topLinePunct w:val="0"/>
        <w:autoSpaceDE w:val="0"/>
        <w:autoSpaceDN w:val="0"/>
        <w:bidi w:val="0"/>
        <w:adjustRightInd w:val="0"/>
        <w:snapToGrid w:val="0"/>
        <w:spacing w:line="240" w:lineRule="auto"/>
        <w:jc w:val="center"/>
        <w:rPr>
          <w:rFonts w:hint="default" w:ascii="Times New Roman" w:hAnsi="Times New Roman" w:eastAsia="仿宋" w:cs="Times New Roman"/>
          <w:b/>
          <w:color w:val="auto"/>
          <w:kern w:val="0"/>
          <w:sz w:val="84"/>
          <w:highlight w:val="none"/>
        </w:rPr>
      </w:pPr>
      <w:r>
        <w:rPr>
          <w:rFonts w:hint="default" w:ascii="Times New Roman" w:hAnsi="Times New Roman" w:eastAsia="仿宋" w:cs="Times New Roman"/>
          <w:b/>
          <w:color w:val="auto"/>
          <w:kern w:val="0"/>
          <w:sz w:val="84"/>
          <w:highlight w:val="none"/>
          <w:lang w:val="en-US" w:eastAsia="zh-CN"/>
        </w:rPr>
        <w:t>响应</w:t>
      </w:r>
      <w:r>
        <w:rPr>
          <w:rFonts w:hint="default" w:ascii="Times New Roman" w:hAnsi="Times New Roman" w:eastAsia="仿宋" w:cs="Times New Roman"/>
          <w:b/>
          <w:color w:val="auto"/>
          <w:kern w:val="0"/>
          <w:sz w:val="84"/>
          <w:highlight w:val="none"/>
        </w:rPr>
        <w:t>文件</w:t>
      </w: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color w:val="auto"/>
          <w:kern w:val="0"/>
          <w:sz w:val="16"/>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kinsoku/>
        <w:wordWrap w:val="0"/>
        <w:overflowPunct/>
        <w:topLinePunct w:val="0"/>
        <w:autoSpaceDE w:val="0"/>
        <w:autoSpaceDN w:val="0"/>
        <w:bidi w:val="0"/>
        <w:adjustRightInd w:val="0"/>
        <w:snapToGrid w:val="0"/>
        <w:spacing w:line="240" w:lineRule="auto"/>
        <w:jc w:val="left"/>
        <w:rPr>
          <w:rFonts w:hint="default" w:ascii="Times New Roman" w:hAnsi="Times New Roman" w:eastAsia="仿宋" w:cs="Times New Roman"/>
          <w:b/>
          <w:color w:val="auto"/>
          <w:kern w:val="0"/>
          <w:sz w:val="20"/>
          <w:highlight w:val="none"/>
        </w:rPr>
      </w:pPr>
    </w:p>
    <w:p>
      <w:pPr>
        <w:pageBreakBefore w:val="0"/>
        <w:tabs>
          <w:tab w:val="left" w:pos="6080"/>
          <w:tab w:val="left" w:pos="6640"/>
        </w:tabs>
        <w:kinsoku/>
        <w:wordWrap w:val="0"/>
        <w:overflowPunct/>
        <w:topLinePunct w:val="0"/>
        <w:autoSpaceDE w:val="0"/>
        <w:autoSpaceDN w:val="0"/>
        <w:bidi w:val="0"/>
        <w:adjustRightInd w:val="0"/>
        <w:snapToGrid w:val="0"/>
        <w:spacing w:line="600" w:lineRule="auto"/>
        <w:ind w:firstLine="1120" w:firstLineChars="400"/>
        <w:jc w:val="both"/>
        <w:rPr>
          <w:rFonts w:hint="default" w:ascii="Times New Roman" w:hAnsi="Times New Roman" w:eastAsia="仿宋" w:cs="Times New Roman"/>
          <w:b/>
          <w:color w:val="auto"/>
          <w:kern w:val="0"/>
          <w:sz w:val="28"/>
          <w:highlight w:val="none"/>
        </w:rPr>
      </w:pPr>
      <w:r>
        <w:rPr>
          <w:rFonts w:hint="default" w:ascii="Times New Roman" w:hAnsi="Times New Roman" w:eastAsia="仿宋" w:cs="Times New Roman"/>
          <w:b/>
          <w:color w:val="auto"/>
          <w:kern w:val="0"/>
          <w:sz w:val="28"/>
          <w:highlight w:val="none"/>
          <w:lang w:val="en-US" w:eastAsia="zh-CN"/>
        </w:rPr>
        <w:t>供应商</w:t>
      </w:r>
      <w:r>
        <w:rPr>
          <w:rFonts w:hint="default" w:ascii="Times New Roman" w:hAnsi="Times New Roman" w:eastAsia="仿宋" w:cs="Times New Roman"/>
          <w:b/>
          <w:color w:val="auto"/>
          <w:spacing w:val="1"/>
          <w:kern w:val="0"/>
          <w:sz w:val="28"/>
          <w:highlight w:val="none"/>
        </w:rPr>
        <w:t>：</w:t>
      </w:r>
      <w:r>
        <w:rPr>
          <w:rFonts w:hint="default" w:ascii="Times New Roman" w:hAnsi="Times New Roman" w:eastAsia="仿宋" w:cs="Times New Roman"/>
          <w:b/>
          <w:color w:val="auto"/>
          <w:kern w:val="0"/>
          <w:sz w:val="28"/>
          <w:highlight w:val="none"/>
          <w:u w:val="single"/>
        </w:rPr>
        <w:t xml:space="preserve"> 　　　</w:t>
      </w:r>
      <w:r>
        <w:rPr>
          <w:rFonts w:hint="default" w:ascii="Times New Roman" w:hAnsi="Times New Roman" w:eastAsia="仿宋" w:cs="Times New Roman"/>
          <w:b/>
          <w:color w:val="auto"/>
          <w:kern w:val="0"/>
          <w:sz w:val="28"/>
          <w:highlight w:val="none"/>
          <w:u w:val="single"/>
          <w:lang w:val="en-US" w:eastAsia="zh-CN"/>
        </w:rPr>
        <w:t xml:space="preserve">      </w:t>
      </w:r>
      <w:r>
        <w:rPr>
          <w:rFonts w:hint="default" w:ascii="Times New Roman" w:hAnsi="Times New Roman" w:eastAsia="仿宋" w:cs="Times New Roman"/>
          <w:b/>
          <w:color w:val="auto"/>
          <w:kern w:val="0"/>
          <w:sz w:val="28"/>
          <w:highlight w:val="none"/>
          <w:u w:val="single"/>
        </w:rPr>
        <w:t>　          　　</w:t>
      </w:r>
      <w:r>
        <w:rPr>
          <w:rFonts w:hint="default" w:ascii="Times New Roman" w:hAnsi="Times New Roman" w:eastAsia="仿宋" w:cs="Times New Roman"/>
          <w:b/>
          <w:color w:val="auto"/>
          <w:kern w:val="0"/>
          <w:sz w:val="28"/>
          <w:highlight w:val="none"/>
        </w:rPr>
        <w:t>（盖单位公章）</w:t>
      </w:r>
    </w:p>
    <w:p>
      <w:pPr>
        <w:pageBreakBefore w:val="0"/>
        <w:tabs>
          <w:tab w:val="left" w:pos="6080"/>
          <w:tab w:val="left" w:pos="6640"/>
        </w:tabs>
        <w:kinsoku/>
        <w:wordWrap w:val="0"/>
        <w:overflowPunct/>
        <w:topLinePunct w:val="0"/>
        <w:autoSpaceDE w:val="0"/>
        <w:autoSpaceDN w:val="0"/>
        <w:bidi w:val="0"/>
        <w:adjustRightInd w:val="0"/>
        <w:snapToGrid w:val="0"/>
        <w:spacing w:line="600" w:lineRule="auto"/>
        <w:ind w:firstLine="1120" w:firstLineChars="400"/>
        <w:rPr>
          <w:rFonts w:hint="default" w:ascii="Times New Roman" w:hAnsi="Times New Roman" w:eastAsia="仿宋" w:cs="Times New Roman"/>
          <w:b/>
          <w:color w:val="auto"/>
          <w:kern w:val="0"/>
          <w:sz w:val="28"/>
          <w:highlight w:val="none"/>
        </w:rPr>
      </w:pPr>
      <w:r>
        <w:rPr>
          <w:rFonts w:hint="default" w:ascii="Times New Roman" w:hAnsi="Times New Roman" w:eastAsia="仿宋" w:cs="Times New Roman"/>
          <w:b/>
          <w:color w:val="auto"/>
          <w:kern w:val="0"/>
          <w:sz w:val="28"/>
          <w:highlight w:val="none"/>
        </w:rPr>
        <w:t>法定代表人或其委托代理人：</w:t>
      </w:r>
      <w:r>
        <w:rPr>
          <w:rFonts w:hint="default" w:ascii="Times New Roman" w:hAnsi="Times New Roman" w:eastAsia="仿宋" w:cs="Times New Roman"/>
          <w:b/>
          <w:color w:val="auto"/>
          <w:kern w:val="0"/>
          <w:sz w:val="28"/>
          <w:highlight w:val="none"/>
          <w:u w:val="single"/>
        </w:rPr>
        <w:t xml:space="preserve"> 　　      　</w:t>
      </w:r>
      <w:r>
        <w:rPr>
          <w:rFonts w:hint="default" w:ascii="Times New Roman" w:hAnsi="Times New Roman" w:eastAsia="仿宋" w:cs="Times New Roman"/>
          <w:b/>
          <w:color w:val="auto"/>
          <w:kern w:val="0"/>
          <w:sz w:val="28"/>
          <w:highlight w:val="none"/>
        </w:rPr>
        <w:t>（签名或盖章）</w:t>
      </w:r>
    </w:p>
    <w:p>
      <w:pPr>
        <w:pageBreakBefore w:val="0"/>
        <w:tabs>
          <w:tab w:val="left" w:pos="3280"/>
          <w:tab w:val="left" w:pos="4680"/>
          <w:tab w:val="left" w:pos="6080"/>
        </w:tabs>
        <w:kinsoku/>
        <w:wordWrap w:val="0"/>
        <w:overflowPunct/>
        <w:topLinePunct w:val="0"/>
        <w:autoSpaceDE w:val="0"/>
        <w:autoSpaceDN w:val="0"/>
        <w:bidi w:val="0"/>
        <w:adjustRightInd w:val="0"/>
        <w:snapToGrid w:val="0"/>
        <w:spacing w:line="600" w:lineRule="auto"/>
        <w:ind w:firstLine="1120" w:firstLineChars="400"/>
        <w:jc w:val="both"/>
        <w:rPr>
          <w:rFonts w:hint="default" w:ascii="Times New Roman" w:hAnsi="Times New Roman" w:eastAsia="仿宋" w:cs="Times New Roman"/>
          <w:b/>
          <w:color w:val="auto"/>
          <w:kern w:val="0"/>
          <w:sz w:val="28"/>
          <w:highlight w:val="none"/>
          <w:u w:val="single"/>
        </w:rPr>
      </w:pPr>
    </w:p>
    <w:p>
      <w:pPr>
        <w:pageBreakBefore w:val="0"/>
        <w:tabs>
          <w:tab w:val="left" w:pos="3280"/>
          <w:tab w:val="left" w:pos="4680"/>
          <w:tab w:val="left" w:pos="6080"/>
        </w:tabs>
        <w:kinsoku/>
        <w:wordWrap w:val="0"/>
        <w:overflowPunct/>
        <w:topLinePunct w:val="0"/>
        <w:autoSpaceDE w:val="0"/>
        <w:autoSpaceDN w:val="0"/>
        <w:bidi w:val="0"/>
        <w:adjustRightInd w:val="0"/>
        <w:snapToGrid w:val="0"/>
        <w:spacing w:line="600" w:lineRule="auto"/>
        <w:ind w:firstLine="3640" w:firstLineChars="1300"/>
        <w:jc w:val="both"/>
        <w:rPr>
          <w:rFonts w:hint="default" w:ascii="Times New Roman" w:hAnsi="Times New Roman" w:eastAsia="宋体" w:cs="Times New Roman"/>
          <w:b/>
          <w:color w:val="auto"/>
          <w:kern w:val="0"/>
          <w:sz w:val="28"/>
          <w:highlight w:val="none"/>
        </w:rPr>
      </w:pPr>
      <w:r>
        <w:rPr>
          <w:rFonts w:hint="default" w:ascii="Times New Roman" w:hAnsi="Times New Roman" w:eastAsia="仿宋" w:cs="Times New Roman"/>
          <w:b/>
          <w:color w:val="auto"/>
          <w:kern w:val="0"/>
          <w:sz w:val="28"/>
          <w:highlight w:val="none"/>
          <w:u w:val="single"/>
        </w:rPr>
        <w:t xml:space="preserve"> 　</w:t>
      </w:r>
      <w:r>
        <w:rPr>
          <w:rFonts w:hint="default" w:ascii="Times New Roman" w:hAnsi="Times New Roman" w:eastAsia="仿宋" w:cs="Times New Roman"/>
          <w:b/>
          <w:color w:val="auto"/>
          <w:kern w:val="0"/>
          <w:sz w:val="28"/>
          <w:highlight w:val="none"/>
        </w:rPr>
        <w:t>年</w:t>
      </w:r>
      <w:r>
        <w:rPr>
          <w:rFonts w:hint="default" w:ascii="Times New Roman" w:hAnsi="Times New Roman" w:eastAsia="仿宋" w:cs="Times New Roman"/>
          <w:b/>
          <w:color w:val="auto"/>
          <w:kern w:val="0"/>
          <w:sz w:val="28"/>
          <w:highlight w:val="none"/>
          <w:u w:val="single"/>
        </w:rPr>
        <w:t xml:space="preserve">   </w:t>
      </w:r>
      <w:r>
        <w:rPr>
          <w:rFonts w:hint="default" w:ascii="Times New Roman" w:hAnsi="Times New Roman" w:eastAsia="仿宋" w:cs="Times New Roman"/>
          <w:b/>
          <w:color w:val="auto"/>
          <w:kern w:val="0"/>
          <w:sz w:val="28"/>
          <w:highlight w:val="none"/>
        </w:rPr>
        <w:t>月</w:t>
      </w:r>
      <w:r>
        <w:rPr>
          <w:rFonts w:hint="default" w:ascii="Times New Roman" w:hAnsi="Times New Roman" w:eastAsia="仿宋" w:cs="Times New Roman"/>
          <w:b/>
          <w:color w:val="auto"/>
          <w:kern w:val="0"/>
          <w:sz w:val="28"/>
          <w:highlight w:val="none"/>
          <w:u w:val="single"/>
        </w:rPr>
        <w:t xml:space="preserve">   </w:t>
      </w:r>
      <w:r>
        <w:rPr>
          <w:rFonts w:hint="default" w:ascii="Times New Roman" w:hAnsi="Times New Roman" w:eastAsia="仿宋" w:cs="Times New Roman"/>
          <w:b/>
          <w:color w:val="auto"/>
          <w:kern w:val="0"/>
          <w:sz w:val="28"/>
          <w:highlight w:val="none"/>
        </w:rPr>
        <w:t>日</w:t>
      </w:r>
    </w:p>
    <w:p>
      <w:pPr>
        <w:keepNext w:val="0"/>
        <w:keepLines w:val="0"/>
        <w:pageBreakBefore w:val="0"/>
        <w:widowControl w:val="0"/>
        <w:tabs>
          <w:tab w:val="left" w:pos="6300"/>
        </w:tabs>
        <w:kinsoku/>
        <w:wordWrap/>
        <w:overflowPunct/>
        <w:topLinePunct w:val="0"/>
        <w:autoSpaceDE/>
        <w:autoSpaceDN/>
        <w:bidi w:val="0"/>
        <w:adjustRightInd/>
        <w:snapToGrid w:val="0"/>
        <w:spacing w:before="381" w:beforeLines="100" w:line="400" w:lineRule="exact"/>
        <w:jc w:val="center"/>
        <w:textAlignment w:val="auto"/>
        <w:outlineLvl w:val="9"/>
        <w:rPr>
          <w:rFonts w:hint="eastAsia" w:ascii="方正黑体_GBK" w:hAnsi="方正黑体_GBK" w:eastAsia="方正黑体_GBK" w:cs="方正黑体_GBK"/>
          <w:b w:val="0"/>
          <w:bCs w:val="0"/>
          <w:color w:val="auto"/>
          <w:sz w:val="28"/>
          <w:szCs w:val="28"/>
          <w:highlight w:val="none"/>
          <w:shd w:val="clear" w:color="auto" w:fill="auto"/>
          <w:lang w:val="en-US" w:eastAsia="zh-CN"/>
        </w:rPr>
      </w:pPr>
      <w:r>
        <w:rPr>
          <w:rFonts w:hint="eastAsia" w:ascii="方正黑体_GBK" w:hAnsi="方正黑体_GBK" w:eastAsia="方正黑体_GBK" w:cs="方正黑体_GBK"/>
          <w:b w:val="0"/>
          <w:bCs w:val="0"/>
          <w:color w:val="auto"/>
          <w:sz w:val="32"/>
          <w:szCs w:val="32"/>
          <w:highlight w:val="none"/>
          <w:shd w:val="clear" w:color="auto" w:fill="auto"/>
          <w:lang w:val="en-US" w:eastAsia="zh-CN"/>
        </w:rPr>
        <w:t>目  录</w:t>
      </w:r>
    </w:p>
    <w:p>
      <w:pPr>
        <w:tabs>
          <w:tab w:val="left" w:pos="6300"/>
        </w:tabs>
        <w:snapToGrid w:val="0"/>
        <w:spacing w:line="400" w:lineRule="exact"/>
        <w:jc w:val="center"/>
        <w:outlineLvl w:val="9"/>
        <w:rPr>
          <w:rFonts w:hint="eastAsia" w:asciiTheme="minorEastAsia" w:hAnsiTheme="minorEastAsia" w:eastAsiaTheme="minorEastAsia" w:cstheme="minorEastAsia"/>
          <w:b/>
          <w:bCs/>
          <w:color w:val="auto"/>
          <w:sz w:val="28"/>
          <w:szCs w:val="28"/>
          <w:highlight w:val="none"/>
          <w:shd w:val="clear" w:color="auto" w:fill="auto"/>
          <w:lang w:val="en-US" w:eastAsia="zh-CN"/>
        </w:rPr>
        <w:sectPr>
          <w:footerReference r:id="rId5" w:type="default"/>
          <w:pgSz w:w="11907" w:h="16840"/>
          <w:pgMar w:top="1984" w:right="1446" w:bottom="1644" w:left="1446" w:header="850" w:footer="992" w:gutter="0"/>
          <w:pgNumType w:fmt="decimal"/>
          <w:cols w:space="0" w:num="1"/>
          <w:rtlGutter w:val="0"/>
          <w:docGrid w:type="linesAndChars" w:linePitch="380" w:charSpace="0"/>
        </w:sect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（目录自拟）</w:t>
      </w:r>
    </w:p>
    <w:p>
      <w:pPr>
        <w:keepNext/>
        <w:keepLines/>
        <w:widowControl w:val="0"/>
        <w:adjustRightInd w:val="0"/>
        <w:snapToGrid w:val="0"/>
        <w:spacing w:line="500" w:lineRule="exact"/>
        <w:jc w:val="center"/>
        <w:outlineLvl w:val="1"/>
        <w:rPr>
          <w:rFonts w:hint="eastAsia" w:ascii="方正小标宋_GBK" w:hAnsi="方正小标宋_GBK" w:eastAsia="方正小标宋_GBK" w:cs="方正小标宋_GBK"/>
          <w:b w:val="0"/>
          <w:bCs/>
          <w:color w:val="auto"/>
          <w:kern w:val="2"/>
          <w:sz w:val="32"/>
          <w:szCs w:val="32"/>
          <w:highlight w:val="none"/>
          <w:shd w:val="clear" w:color="auto" w:fill="auto"/>
          <w:lang w:val="en-US" w:eastAsia="zh-CN" w:bidi="ar-SA"/>
        </w:rPr>
      </w:pPr>
      <w:bookmarkStart w:id="78" w:name="_Toc29861"/>
      <w:r>
        <w:rPr>
          <w:rFonts w:hint="eastAsia" w:ascii="方正小标宋_GBK" w:hAnsi="方正小标宋_GBK" w:eastAsia="方正小标宋_GBK" w:cs="方正小标宋_GBK"/>
          <w:b w:val="0"/>
          <w:bCs/>
          <w:color w:val="auto"/>
          <w:kern w:val="2"/>
          <w:sz w:val="32"/>
          <w:szCs w:val="32"/>
          <w:highlight w:val="none"/>
          <w:shd w:val="clear" w:color="auto" w:fill="auto"/>
          <w:lang w:val="en-US" w:eastAsia="zh-CN" w:bidi="ar-SA"/>
        </w:rPr>
        <w:t>一、报价函部分</w:t>
      </w:r>
      <w:bookmarkEnd w:id="78"/>
    </w:p>
    <w:p>
      <w:pPr>
        <w:spacing w:line="400" w:lineRule="exact"/>
        <w:ind w:firstLine="3406" w:firstLineChars="1670"/>
        <w:rPr>
          <w:rFonts w:hint="eastAsia" w:ascii="方正黑体_GBK" w:hAnsi="方正黑体_GBK" w:eastAsia="方正黑体_GBK" w:cs="方正黑体_GBK"/>
          <w:b w:val="0"/>
          <w:bCs/>
          <w:color w:val="auto"/>
          <w:spacing w:val="-18"/>
          <w:sz w:val="24"/>
          <w:szCs w:val="24"/>
          <w:highlight w:val="none"/>
          <w:shd w:val="clear" w:color="auto" w:fill="auto"/>
        </w:rPr>
      </w:pPr>
      <w:r>
        <w:rPr>
          <w:rFonts w:hint="eastAsia" w:ascii="方正黑体_GBK" w:hAnsi="方正黑体_GBK" w:eastAsia="方正黑体_GBK" w:cs="方正黑体_GBK"/>
          <w:b w:val="0"/>
          <w:bCs/>
          <w:color w:val="auto"/>
          <w:spacing w:val="-18"/>
          <w:sz w:val="24"/>
          <w:szCs w:val="24"/>
          <w:highlight w:val="none"/>
          <w:shd w:val="clear" w:color="auto" w:fill="auto"/>
        </w:rPr>
        <w:t>（一）</w:t>
      </w:r>
      <w:r>
        <w:rPr>
          <w:rFonts w:hint="eastAsia" w:ascii="方正黑体_GBK" w:hAnsi="方正黑体_GBK" w:eastAsia="方正黑体_GBK" w:cs="方正黑体_GBK"/>
          <w:b w:val="0"/>
          <w:bCs/>
          <w:color w:val="auto"/>
          <w:spacing w:val="-18"/>
          <w:sz w:val="24"/>
          <w:szCs w:val="24"/>
          <w:highlight w:val="none"/>
          <w:shd w:val="clear" w:color="auto" w:fill="auto"/>
          <w:lang w:val="en-US" w:eastAsia="zh-CN"/>
        </w:rPr>
        <w:t>响应</w:t>
      </w:r>
      <w:r>
        <w:rPr>
          <w:rFonts w:hint="eastAsia" w:ascii="方正黑体_GBK" w:hAnsi="方正黑体_GBK" w:eastAsia="方正黑体_GBK" w:cs="方正黑体_GBK"/>
          <w:b w:val="0"/>
          <w:bCs/>
          <w:color w:val="auto"/>
          <w:spacing w:val="-18"/>
          <w:sz w:val="24"/>
          <w:szCs w:val="24"/>
          <w:highlight w:val="none"/>
          <w:shd w:val="clear" w:color="auto" w:fill="auto"/>
        </w:rPr>
        <w:t>报价函（格式）</w:t>
      </w:r>
    </w:p>
    <w:p>
      <w:pPr>
        <w:tabs>
          <w:tab w:val="left" w:pos="6300"/>
        </w:tabs>
        <w:snapToGrid w:val="0"/>
        <w:spacing w:line="400" w:lineRule="exact"/>
        <w:ind w:firstLine="410" w:firstLineChars="200"/>
        <w:jc w:val="center"/>
        <w:outlineLvl w:val="9"/>
        <w:rPr>
          <w:rFonts w:hint="default" w:ascii="Times New Roman" w:hAnsi="Times New Roman" w:eastAsia="仿宋" w:cs="Times New Roman"/>
          <w:b/>
          <w:color w:val="auto"/>
          <w:spacing w:val="-18"/>
          <w:sz w:val="24"/>
          <w:szCs w:val="24"/>
          <w:highlight w:val="none"/>
          <w:shd w:val="clear" w:color="auto" w:fill="auto"/>
        </w:rPr>
      </w:pPr>
    </w:p>
    <w:p>
      <w:pPr>
        <w:tabs>
          <w:tab w:val="left" w:pos="6300"/>
        </w:tabs>
        <w:snapToGrid w:val="0"/>
        <w:spacing w:line="312" w:lineRule="auto"/>
        <w:rPr>
          <w:rFonts w:hint="eastAsia" w:asciiTheme="minorEastAsia" w:hAnsiTheme="minorEastAsia" w:eastAsiaTheme="minorEastAsia" w:cstheme="minorEastAsia"/>
          <w:color w:val="auto"/>
          <w:spacing w:val="-18"/>
          <w:sz w:val="24"/>
          <w:szCs w:val="24"/>
          <w:highlight w:val="none"/>
          <w:u w:val="single"/>
          <w:shd w:val="clear" w:color="auto" w:fill="auto"/>
        </w:rPr>
      </w:pPr>
      <w:r>
        <w:rPr>
          <w:rFonts w:hint="eastAsia" w:asciiTheme="minorEastAsia" w:hAnsiTheme="minorEastAsia" w:eastAsiaTheme="minorEastAsia" w:cstheme="minorEastAsia"/>
          <w:color w:val="auto"/>
          <w:sz w:val="24"/>
          <w:szCs w:val="24"/>
          <w:highlight w:val="none"/>
          <w:u w:val="single"/>
          <w:shd w:val="clear" w:color="auto" w:fill="auto"/>
        </w:rPr>
        <w:t>（</w:t>
      </w:r>
      <w:r>
        <w:rPr>
          <w:rFonts w:hint="eastAsia" w:asciiTheme="minorEastAsia" w:hAnsiTheme="minorEastAsia" w:eastAsiaTheme="minorEastAsia" w:cstheme="minorEastAsia"/>
          <w:color w:val="auto"/>
          <w:sz w:val="24"/>
          <w:szCs w:val="24"/>
          <w:highlight w:val="none"/>
          <w:u w:val="single"/>
          <w:shd w:val="clear" w:color="auto" w:fill="auto"/>
          <w:lang w:eastAsia="zh-CN"/>
        </w:rPr>
        <w:t>代理机构</w:t>
      </w:r>
      <w:r>
        <w:rPr>
          <w:rFonts w:hint="eastAsia" w:asciiTheme="minorEastAsia" w:hAnsiTheme="minorEastAsia" w:eastAsiaTheme="minorEastAsia" w:cstheme="minorEastAsia"/>
          <w:color w:val="auto"/>
          <w:sz w:val="24"/>
          <w:szCs w:val="24"/>
          <w:highlight w:val="none"/>
          <w:u w:val="single"/>
          <w:shd w:val="clear" w:color="auto" w:fill="auto"/>
        </w:rPr>
        <w:t>名称）</w:t>
      </w:r>
      <w:r>
        <w:rPr>
          <w:rFonts w:hint="eastAsia" w:asciiTheme="minorEastAsia" w:hAnsiTheme="minorEastAsia" w:eastAsiaTheme="minorEastAsia" w:cstheme="minorEastAsia"/>
          <w:color w:val="auto"/>
          <w:sz w:val="24"/>
          <w:szCs w:val="24"/>
          <w:highlight w:val="none"/>
          <w:shd w:val="clear" w:color="auto" w:fill="auto"/>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我方收到____________________________（</w:t>
      </w:r>
      <w:r>
        <w:rPr>
          <w:rFonts w:hint="eastAsia" w:asciiTheme="minorEastAsia" w:hAnsiTheme="minorEastAsia" w:eastAsiaTheme="minorEastAsia" w:cstheme="minorEastAsia"/>
          <w:color w:val="auto"/>
          <w:sz w:val="24"/>
          <w:szCs w:val="24"/>
          <w:highlight w:val="none"/>
          <w:shd w:val="clear" w:color="auto" w:fill="auto"/>
          <w:lang w:eastAsia="zh-CN"/>
        </w:rPr>
        <w:t>比选</w:t>
      </w:r>
      <w:r>
        <w:rPr>
          <w:rFonts w:hint="eastAsia" w:asciiTheme="minorEastAsia" w:hAnsiTheme="minorEastAsia" w:eastAsiaTheme="minorEastAsia" w:cstheme="minorEastAsia"/>
          <w:color w:val="auto"/>
          <w:sz w:val="24"/>
          <w:szCs w:val="24"/>
          <w:highlight w:val="none"/>
          <w:shd w:val="clear" w:color="auto" w:fill="auto"/>
        </w:rPr>
        <w:t>项目名称）的</w:t>
      </w:r>
      <w:r>
        <w:rPr>
          <w:rFonts w:hint="eastAsia" w:asciiTheme="minorEastAsia" w:hAnsiTheme="minorEastAsia" w:eastAsiaTheme="minorEastAsia" w:cstheme="minorEastAsia"/>
          <w:color w:val="auto"/>
          <w:sz w:val="24"/>
          <w:szCs w:val="24"/>
          <w:highlight w:val="none"/>
          <w:shd w:val="clear" w:color="auto" w:fill="auto"/>
          <w:lang w:eastAsia="zh-CN"/>
        </w:rPr>
        <w:t>比选文件</w:t>
      </w:r>
      <w:r>
        <w:rPr>
          <w:rFonts w:hint="eastAsia" w:asciiTheme="minorEastAsia" w:hAnsiTheme="minorEastAsia" w:eastAsiaTheme="minorEastAsia" w:cstheme="minorEastAsia"/>
          <w:color w:val="auto"/>
          <w:sz w:val="24"/>
          <w:szCs w:val="24"/>
          <w:highlight w:val="none"/>
          <w:shd w:val="clear" w:color="auto" w:fill="auto"/>
        </w:rPr>
        <w:t>，经详细研究，决定参加该</w:t>
      </w:r>
      <w:r>
        <w:rPr>
          <w:rFonts w:hint="eastAsia" w:asciiTheme="minorEastAsia" w:hAnsiTheme="minorEastAsia" w:eastAsiaTheme="minorEastAsia" w:cstheme="minorEastAsia"/>
          <w:color w:val="auto"/>
          <w:sz w:val="24"/>
          <w:szCs w:val="24"/>
          <w:highlight w:val="none"/>
          <w:shd w:val="clear" w:color="auto" w:fill="auto"/>
          <w:lang w:eastAsia="zh-CN"/>
        </w:rPr>
        <w:t>比选</w:t>
      </w:r>
      <w:r>
        <w:rPr>
          <w:rFonts w:hint="eastAsia" w:asciiTheme="minorEastAsia" w:hAnsiTheme="minorEastAsia" w:eastAsiaTheme="minorEastAsia" w:cstheme="minorEastAsia"/>
          <w:color w:val="auto"/>
          <w:sz w:val="24"/>
          <w:szCs w:val="24"/>
          <w:highlight w:val="none"/>
          <w:shd w:val="clear" w:color="auto" w:fill="auto"/>
        </w:rPr>
        <w:t>项目的报价。</w:t>
      </w:r>
    </w:p>
    <w:p>
      <w:pPr>
        <w:tabs>
          <w:tab w:val="left" w:pos="6300"/>
        </w:tabs>
        <w:snapToGrid w:val="0"/>
        <w:spacing w:line="312" w:lineRule="auto"/>
        <w:ind w:firstLine="480" w:firstLineChars="200"/>
        <w:outlineLvl w:val="9"/>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1.愿意按照</w:t>
      </w:r>
      <w:r>
        <w:rPr>
          <w:rFonts w:hint="eastAsia" w:asciiTheme="minorEastAsia" w:hAnsiTheme="minorEastAsia" w:eastAsiaTheme="minorEastAsia" w:cstheme="minorEastAsia"/>
          <w:color w:val="auto"/>
          <w:sz w:val="24"/>
          <w:szCs w:val="24"/>
          <w:highlight w:val="none"/>
          <w:shd w:val="clear" w:color="auto" w:fill="auto"/>
          <w:lang w:eastAsia="zh-CN"/>
        </w:rPr>
        <w:t>比选文件</w:t>
      </w:r>
      <w:r>
        <w:rPr>
          <w:rFonts w:hint="eastAsia" w:asciiTheme="minorEastAsia" w:hAnsiTheme="minorEastAsia" w:eastAsiaTheme="minorEastAsia" w:cstheme="minorEastAsia"/>
          <w:color w:val="auto"/>
          <w:sz w:val="24"/>
          <w:szCs w:val="24"/>
          <w:highlight w:val="none"/>
          <w:shd w:val="clear" w:color="auto" w:fill="auto"/>
        </w:rPr>
        <w:t>中的一切要求，提供本项目的交货及技术服务，项目</w:t>
      </w:r>
      <w:r>
        <w:rPr>
          <w:rFonts w:hint="eastAsia" w:asciiTheme="minorEastAsia" w:hAnsiTheme="minorEastAsia" w:eastAsiaTheme="minorEastAsia" w:cstheme="minorEastAsia"/>
          <w:color w:val="auto"/>
          <w:sz w:val="24"/>
          <w:szCs w:val="24"/>
          <w:highlight w:val="none"/>
          <w:shd w:val="clear" w:color="auto" w:fill="auto"/>
          <w:lang w:val="en-US" w:eastAsia="zh-CN"/>
        </w:rPr>
        <w:t>响应</w:t>
      </w:r>
      <w:r>
        <w:rPr>
          <w:rFonts w:hint="eastAsia" w:asciiTheme="minorEastAsia" w:hAnsiTheme="minorEastAsia" w:eastAsiaTheme="minorEastAsia" w:cstheme="minorEastAsia"/>
          <w:color w:val="auto"/>
          <w:sz w:val="24"/>
          <w:szCs w:val="24"/>
          <w:highlight w:val="none"/>
          <w:shd w:val="clear" w:color="auto" w:fill="auto"/>
        </w:rPr>
        <w:t>报价（总价）为人民币大写：</w:t>
      </w:r>
      <w:r>
        <w:rPr>
          <w:rFonts w:hint="eastAsia" w:asciiTheme="minorEastAsia" w:hAnsiTheme="minorEastAsia" w:eastAsiaTheme="minorEastAsia" w:cstheme="minorEastAsia"/>
          <w:color w:val="auto"/>
          <w:sz w:val="24"/>
          <w:szCs w:val="24"/>
          <w:highlight w:val="none"/>
          <w:u w:val="singl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u w:val="singl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shd w:val="clear" w:color="auto" w:fill="auto"/>
        </w:rPr>
        <w:t>元整；人民币小写：</w:t>
      </w:r>
      <w:r>
        <w:rPr>
          <w:rFonts w:hint="eastAsia" w:asciiTheme="minorEastAsia" w:hAnsiTheme="minorEastAsia" w:eastAsiaTheme="minorEastAsia" w:cstheme="minorEastAsia"/>
          <w:color w:val="auto"/>
          <w:sz w:val="24"/>
          <w:szCs w:val="24"/>
          <w:highlight w:val="none"/>
          <w:u w:val="singl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u w:val="singl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shd w:val="clear" w:color="auto" w:fill="auto"/>
        </w:rPr>
        <w:t>元。以我公司报价为准。</w:t>
      </w:r>
    </w:p>
    <w:p>
      <w:pPr>
        <w:tabs>
          <w:tab w:val="left" w:pos="6300"/>
        </w:tabs>
        <w:snapToGrid w:val="0"/>
        <w:spacing w:line="312" w:lineRule="auto"/>
        <w:ind w:firstLine="480" w:firstLineChars="200"/>
        <w:outlineLvl w:val="9"/>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2.我方现提交的响应文件为：</w:t>
      </w:r>
      <w:r>
        <w:rPr>
          <w:rFonts w:hint="eastAsia" w:asciiTheme="minorEastAsia" w:hAnsiTheme="minorEastAsia" w:eastAsiaTheme="minorEastAsia" w:cstheme="minorEastAsia"/>
          <w:color w:val="auto"/>
          <w:sz w:val="24"/>
          <w:szCs w:val="24"/>
          <w:highlight w:val="none"/>
          <w:shd w:val="clear" w:color="auto" w:fill="auto"/>
          <w:lang w:eastAsia="zh-CN"/>
        </w:rPr>
        <w:t>响应文件</w:t>
      </w:r>
      <w:r>
        <w:rPr>
          <w:rFonts w:hint="eastAsia" w:asciiTheme="minorEastAsia" w:hAnsiTheme="minorEastAsia" w:eastAsiaTheme="minorEastAsia" w:cstheme="minorEastAsia"/>
          <w:color w:val="auto"/>
          <w:sz w:val="24"/>
          <w:szCs w:val="24"/>
          <w:highlight w:val="none"/>
          <w:shd w:val="clear" w:color="auto" w:fill="auto"/>
          <w:lang w:val="en-US" w:eastAsia="zh-CN"/>
        </w:rPr>
        <w:t>一式三份</w:t>
      </w:r>
      <w:r>
        <w:rPr>
          <w:rFonts w:hint="eastAsia" w:asciiTheme="minorEastAsia" w:hAnsiTheme="minorEastAsia" w:eastAsiaTheme="minorEastAsia" w:cstheme="minorEastAsia"/>
          <w:color w:val="auto"/>
          <w:sz w:val="24"/>
          <w:szCs w:val="24"/>
          <w:highlight w:val="none"/>
          <w:shd w:val="clear" w:color="auto" w:fill="auto"/>
        </w:rPr>
        <w:t>。</w:t>
      </w:r>
    </w:p>
    <w:p>
      <w:pPr>
        <w:tabs>
          <w:tab w:val="left" w:pos="6300"/>
        </w:tabs>
        <w:snapToGrid w:val="0"/>
        <w:spacing w:line="312" w:lineRule="auto"/>
        <w:ind w:firstLine="480" w:firstLineChars="200"/>
        <w:outlineLvl w:val="9"/>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3.我方承诺：本次报价的有效期为提交</w:t>
      </w:r>
      <w:r>
        <w:rPr>
          <w:rFonts w:hint="eastAsia" w:asciiTheme="minorEastAsia" w:hAnsiTheme="minorEastAsia" w:eastAsiaTheme="minorEastAsia" w:cstheme="minorEastAsia"/>
          <w:color w:val="auto"/>
          <w:sz w:val="24"/>
          <w:szCs w:val="24"/>
          <w:highlight w:val="none"/>
          <w:shd w:val="clear" w:color="auto" w:fill="auto"/>
          <w:lang w:eastAsia="zh-CN"/>
        </w:rPr>
        <w:t>响应文件</w:t>
      </w:r>
      <w:r>
        <w:rPr>
          <w:rFonts w:hint="eastAsia" w:asciiTheme="minorEastAsia" w:hAnsiTheme="minorEastAsia" w:eastAsiaTheme="minorEastAsia" w:cstheme="minorEastAsia"/>
          <w:color w:val="auto"/>
          <w:sz w:val="24"/>
          <w:szCs w:val="24"/>
          <w:highlight w:val="none"/>
          <w:shd w:val="clear" w:color="auto" w:fill="auto"/>
        </w:rPr>
        <w:t>递交截止时间起90天。</w:t>
      </w:r>
    </w:p>
    <w:p>
      <w:pPr>
        <w:tabs>
          <w:tab w:val="left" w:pos="6300"/>
        </w:tabs>
        <w:snapToGrid w:val="0"/>
        <w:spacing w:line="312" w:lineRule="auto"/>
        <w:ind w:firstLine="480" w:firstLineChars="200"/>
        <w:outlineLvl w:val="9"/>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4.我方完全理解和接受贵方</w:t>
      </w:r>
      <w:r>
        <w:rPr>
          <w:rFonts w:hint="eastAsia" w:asciiTheme="minorEastAsia" w:hAnsiTheme="minorEastAsia" w:eastAsiaTheme="minorEastAsia" w:cstheme="minorEastAsia"/>
          <w:color w:val="auto"/>
          <w:sz w:val="24"/>
          <w:szCs w:val="24"/>
          <w:highlight w:val="none"/>
          <w:shd w:val="clear" w:color="auto" w:fill="auto"/>
          <w:lang w:eastAsia="zh-CN"/>
        </w:rPr>
        <w:t>比选文件</w:t>
      </w:r>
      <w:r>
        <w:rPr>
          <w:rFonts w:hint="eastAsia" w:asciiTheme="minorEastAsia" w:hAnsiTheme="minorEastAsia" w:eastAsiaTheme="minorEastAsia" w:cstheme="minorEastAsia"/>
          <w:color w:val="auto"/>
          <w:sz w:val="24"/>
          <w:szCs w:val="24"/>
          <w:highlight w:val="none"/>
          <w:shd w:val="clear" w:color="auto" w:fill="auto"/>
        </w:rPr>
        <w:t>的一切规定和要求及评审办法。</w:t>
      </w:r>
    </w:p>
    <w:p>
      <w:pPr>
        <w:tabs>
          <w:tab w:val="left" w:pos="6300"/>
        </w:tabs>
        <w:snapToGrid w:val="0"/>
        <w:spacing w:line="312" w:lineRule="auto"/>
        <w:ind w:firstLine="480" w:firstLineChars="200"/>
        <w:outlineLvl w:val="9"/>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5.在整个</w:t>
      </w:r>
      <w:r>
        <w:rPr>
          <w:rFonts w:hint="eastAsia" w:asciiTheme="minorEastAsia" w:hAnsiTheme="minorEastAsia" w:eastAsiaTheme="minorEastAsia" w:cstheme="minorEastAsia"/>
          <w:color w:val="auto"/>
          <w:sz w:val="24"/>
          <w:szCs w:val="24"/>
          <w:highlight w:val="none"/>
          <w:shd w:val="clear" w:color="auto" w:fill="auto"/>
          <w:lang w:eastAsia="zh-CN"/>
        </w:rPr>
        <w:t>比选</w:t>
      </w:r>
      <w:r>
        <w:rPr>
          <w:rFonts w:hint="eastAsia" w:asciiTheme="minorEastAsia" w:hAnsiTheme="minorEastAsia" w:eastAsiaTheme="minorEastAsia" w:cstheme="minorEastAsia"/>
          <w:color w:val="auto"/>
          <w:sz w:val="24"/>
          <w:szCs w:val="24"/>
          <w:highlight w:val="none"/>
          <w:shd w:val="clear" w:color="auto" w:fill="auto"/>
        </w:rPr>
        <w:t>过程中，我方若有违规行为，接受按照《中华人民共和国政府采购法》和《</w:t>
      </w:r>
      <w:r>
        <w:rPr>
          <w:rFonts w:hint="eastAsia" w:asciiTheme="minorEastAsia" w:hAnsiTheme="minorEastAsia" w:eastAsiaTheme="minorEastAsia" w:cstheme="minorEastAsia"/>
          <w:color w:val="auto"/>
          <w:sz w:val="24"/>
          <w:szCs w:val="24"/>
          <w:highlight w:val="none"/>
          <w:shd w:val="clear" w:color="auto" w:fill="auto"/>
          <w:lang w:val="en-US" w:eastAsia="zh-CN"/>
        </w:rPr>
        <w:t>竞争性</w:t>
      </w:r>
      <w:r>
        <w:rPr>
          <w:rFonts w:hint="eastAsia" w:asciiTheme="minorEastAsia" w:hAnsiTheme="minorEastAsia" w:eastAsiaTheme="minorEastAsia" w:cstheme="minorEastAsia"/>
          <w:color w:val="auto"/>
          <w:sz w:val="24"/>
          <w:szCs w:val="24"/>
          <w:highlight w:val="none"/>
          <w:shd w:val="clear" w:color="auto" w:fill="auto"/>
          <w:lang w:eastAsia="zh-CN"/>
        </w:rPr>
        <w:t>比选文件</w:t>
      </w:r>
      <w:r>
        <w:rPr>
          <w:rFonts w:hint="eastAsia" w:asciiTheme="minorEastAsia" w:hAnsiTheme="minorEastAsia" w:eastAsiaTheme="minorEastAsia" w:cstheme="minorEastAsia"/>
          <w:color w:val="auto"/>
          <w:sz w:val="24"/>
          <w:szCs w:val="24"/>
          <w:highlight w:val="none"/>
          <w:shd w:val="clear" w:color="auto" w:fill="auto"/>
        </w:rPr>
        <w:t>》之规定给予惩罚。</w:t>
      </w:r>
    </w:p>
    <w:p>
      <w:pPr>
        <w:tabs>
          <w:tab w:val="left" w:pos="6300"/>
        </w:tabs>
        <w:snapToGrid w:val="0"/>
        <w:spacing w:line="312" w:lineRule="auto"/>
        <w:ind w:firstLine="480" w:firstLineChars="200"/>
        <w:outlineLvl w:val="9"/>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6.我方若成为成交供应商，将按照最终报价结果签订合同，并且严格履行合同义务。本承诺函将成为合同不可分割的一部分，与合同具有同等的法律效力。</w:t>
      </w:r>
    </w:p>
    <w:p>
      <w:pPr>
        <w:tabs>
          <w:tab w:val="left" w:pos="6300"/>
        </w:tabs>
        <w:snapToGrid w:val="0"/>
        <w:spacing w:line="312" w:lineRule="auto"/>
        <w:ind w:firstLine="480" w:firstLineChars="200"/>
        <w:outlineLvl w:val="9"/>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7</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8"/>
          <w:highlight w:val="none"/>
          <w:shd w:val="clear" w:color="auto" w:fill="auto"/>
        </w:rPr>
        <w:t>我方未</w:t>
      </w:r>
      <w:r>
        <w:rPr>
          <w:rFonts w:hint="eastAsia" w:asciiTheme="minorEastAsia" w:hAnsiTheme="minorEastAsia" w:eastAsiaTheme="minorEastAsia" w:cstheme="minorEastAsia"/>
          <w:color w:val="auto"/>
          <w:sz w:val="24"/>
          <w:szCs w:val="24"/>
          <w:highlight w:val="none"/>
          <w:shd w:val="clear" w:color="auto" w:fill="auto"/>
        </w:rPr>
        <w:t>为采购项目提供整体设计、规范编制或者项目管理、监理、检测等服务。</w:t>
      </w:r>
    </w:p>
    <w:p>
      <w:pPr>
        <w:tabs>
          <w:tab w:val="left" w:pos="6300"/>
        </w:tabs>
        <w:snapToGrid w:val="0"/>
        <w:spacing w:line="312" w:lineRule="auto"/>
        <w:ind w:firstLine="4080" w:firstLineChars="1700"/>
        <w:rPr>
          <w:rFonts w:hint="eastAsia" w:asciiTheme="minorEastAsia" w:hAnsiTheme="minorEastAsia" w:eastAsiaTheme="minorEastAsia" w:cstheme="minorEastAsia"/>
          <w:color w:val="auto"/>
          <w:sz w:val="24"/>
          <w:szCs w:val="24"/>
          <w:highlight w:val="none"/>
          <w:shd w:val="clear" w:color="auto" w:fill="auto"/>
        </w:rPr>
      </w:pPr>
    </w:p>
    <w:p>
      <w:pPr>
        <w:tabs>
          <w:tab w:val="left" w:pos="6300"/>
        </w:tabs>
        <w:snapToGrid w:val="0"/>
        <w:spacing w:line="312" w:lineRule="auto"/>
        <w:ind w:firstLine="4080" w:firstLineChars="17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供应商（公章）或自然人签署：</w:t>
      </w:r>
    </w:p>
    <w:p>
      <w:pPr>
        <w:tabs>
          <w:tab w:val="left" w:pos="6300"/>
        </w:tabs>
        <w:snapToGrid w:val="0"/>
        <w:spacing w:line="312" w:lineRule="auto"/>
        <w:ind w:firstLine="4080" w:firstLineChars="1700"/>
        <w:rPr>
          <w:rFonts w:hint="eastAsia" w:asciiTheme="minorEastAsia" w:hAnsiTheme="minorEastAsia" w:eastAsiaTheme="minorEastAsia" w:cstheme="minorEastAsia"/>
          <w:color w:val="auto"/>
          <w:sz w:val="24"/>
          <w:szCs w:val="24"/>
          <w:highlight w:val="none"/>
          <w:shd w:val="clear" w:color="auto" w:fill="auto"/>
        </w:rPr>
      </w:pPr>
    </w:p>
    <w:p>
      <w:pPr>
        <w:tabs>
          <w:tab w:val="left" w:pos="6300"/>
        </w:tabs>
        <w:snapToGrid w:val="0"/>
        <w:spacing w:line="312" w:lineRule="auto"/>
        <w:ind w:firstLine="4080" w:firstLineChars="1700"/>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rPr>
        <w:t>地址：</w:t>
      </w:r>
      <w:r>
        <w:rPr>
          <w:rFonts w:hint="eastAsia" w:asciiTheme="minorEastAsia" w:hAnsiTheme="minorEastAsia" w:eastAsiaTheme="minorEastAsia" w:cstheme="minorEastAsia"/>
          <w:color w:val="auto"/>
          <w:sz w:val="24"/>
          <w:szCs w:val="24"/>
          <w:highlight w:val="none"/>
          <w:shd w:val="clear" w:color="auto" w:fill="auto"/>
          <w:lang w:eastAsia="zh-CN"/>
        </w:rPr>
        <w:t xml:space="preserve"> </w:t>
      </w:r>
    </w:p>
    <w:p>
      <w:pPr>
        <w:tabs>
          <w:tab w:val="left" w:pos="6300"/>
        </w:tabs>
        <w:snapToGrid w:val="0"/>
        <w:spacing w:line="312" w:lineRule="auto"/>
        <w:ind w:firstLine="4080" w:firstLineChars="17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电话：</w:t>
      </w:r>
      <w:r>
        <w:rPr>
          <w:rFonts w:hint="eastAsia" w:asciiTheme="minorEastAsia" w:hAnsiTheme="minorEastAsia" w:eastAsiaTheme="minorEastAsia" w:cstheme="minorEastAsia"/>
          <w:color w:val="auto"/>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shd w:val="clear" w:color="auto" w:fill="auto"/>
        </w:rPr>
        <w:t xml:space="preserve"> 传真：</w:t>
      </w:r>
    </w:p>
    <w:p>
      <w:pPr>
        <w:tabs>
          <w:tab w:val="left" w:pos="6300"/>
        </w:tabs>
        <w:snapToGrid w:val="0"/>
        <w:spacing w:line="312" w:lineRule="auto"/>
        <w:ind w:firstLine="4080" w:firstLineChars="17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网址：</w:t>
      </w:r>
      <w:r>
        <w:rPr>
          <w:rFonts w:hint="eastAsia" w:asciiTheme="minorEastAsia" w:hAnsiTheme="minorEastAsia" w:eastAsiaTheme="minorEastAsia" w:cstheme="minorEastAsia"/>
          <w:color w:val="auto"/>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shd w:val="clear" w:color="auto" w:fill="auto"/>
        </w:rPr>
        <w:t xml:space="preserve"> 邮编：</w:t>
      </w:r>
    </w:p>
    <w:p>
      <w:pPr>
        <w:tabs>
          <w:tab w:val="left" w:pos="6300"/>
        </w:tabs>
        <w:snapToGrid w:val="0"/>
        <w:spacing w:line="312" w:lineRule="auto"/>
        <w:ind w:firstLine="4080" w:firstLineChars="17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联系人：</w:t>
      </w:r>
    </w:p>
    <w:p>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shd w:val="clear" w:color="auto" w:fill="auto"/>
        </w:rPr>
        <w:t xml:space="preserve"> </w:t>
      </w:r>
    </w:p>
    <w:p>
      <w:pPr>
        <w:snapToGrid w:val="0"/>
        <w:spacing w:line="312" w:lineRule="auto"/>
        <w:ind w:firstLine="4080" w:firstLineChars="17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年</w:t>
      </w:r>
      <w:r>
        <w:rPr>
          <w:rFonts w:hint="eastAsia" w:asciiTheme="minorEastAsia" w:hAnsiTheme="minorEastAsia" w:eastAsiaTheme="minorEastAsia" w:cstheme="minorEastAsia"/>
          <w:color w:val="auto"/>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shd w:val="clear" w:color="auto" w:fill="auto"/>
        </w:rPr>
        <w:t xml:space="preserve"> 月</w:t>
      </w:r>
      <w:r>
        <w:rPr>
          <w:rFonts w:hint="eastAsia" w:asciiTheme="minorEastAsia" w:hAnsiTheme="minorEastAsia" w:eastAsiaTheme="minorEastAsia" w:cstheme="minorEastAsia"/>
          <w:color w:val="auto"/>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z w:val="24"/>
          <w:szCs w:val="24"/>
          <w:highlight w:val="none"/>
          <w:shd w:val="clear" w:color="auto" w:fill="auto"/>
        </w:rPr>
        <w:t xml:space="preserve"> 日</w:t>
      </w: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rPr>
          <w:rFonts w:hint="eastAsia" w:asciiTheme="minorEastAsia" w:hAnsiTheme="minorEastAsia" w:eastAsiaTheme="minorEastAsia" w:cstheme="minorEastAsia"/>
          <w:color w:val="auto"/>
          <w:sz w:val="24"/>
          <w:szCs w:val="24"/>
          <w:highlight w:val="none"/>
          <w:shd w:val="clear" w:color="auto" w:fill="auto"/>
        </w:rPr>
      </w:pPr>
    </w:p>
    <w:p>
      <w:pPr>
        <w:pStyle w:val="2"/>
        <w:ind w:left="0" w:leftChars="0" w:firstLine="0" w:firstLineChars="0"/>
        <w:rPr>
          <w:rFonts w:hint="eastAsia" w:asciiTheme="minorEastAsia" w:hAnsiTheme="minorEastAsia" w:eastAsiaTheme="minorEastAsia" w:cstheme="minorEastAsia"/>
          <w:color w:val="auto"/>
          <w:sz w:val="24"/>
          <w:szCs w:val="24"/>
          <w:highlight w:val="none"/>
          <w:shd w:val="clear" w:color="auto" w:fill="auto"/>
        </w:rPr>
        <w:sectPr>
          <w:pgSz w:w="11907" w:h="16840"/>
          <w:pgMar w:top="1984" w:right="1446" w:bottom="1644" w:left="1446" w:header="850" w:footer="992" w:gutter="0"/>
          <w:pgNumType w:fmt="decimal"/>
          <w:cols w:space="720" w:num="1"/>
          <w:rtlGutter w:val="0"/>
          <w:docGrid w:linePitch="380" w:charSpace="0"/>
        </w:sectPr>
      </w:pPr>
    </w:p>
    <w:p>
      <w:pPr>
        <w:spacing w:line="400" w:lineRule="exact"/>
        <w:ind w:firstLine="3406" w:firstLineChars="1670"/>
        <w:rPr>
          <w:rFonts w:hint="default" w:ascii="方正黑体_GBK" w:hAnsi="方正黑体_GBK" w:eastAsia="方正黑体_GBK" w:cs="方正黑体_GBK"/>
          <w:b w:val="0"/>
          <w:bCs/>
          <w:color w:val="auto"/>
          <w:spacing w:val="-18"/>
          <w:sz w:val="24"/>
          <w:szCs w:val="24"/>
          <w:highlight w:val="none"/>
          <w:shd w:val="clear" w:color="auto" w:fill="auto"/>
        </w:rPr>
      </w:pPr>
      <w:r>
        <w:rPr>
          <w:rFonts w:hint="default" w:ascii="方正黑体_GBK" w:hAnsi="方正黑体_GBK" w:eastAsia="方正黑体_GBK" w:cs="方正黑体_GBK"/>
          <w:b w:val="0"/>
          <w:bCs/>
          <w:color w:val="auto"/>
          <w:spacing w:val="-18"/>
          <w:sz w:val="24"/>
          <w:szCs w:val="24"/>
          <w:highlight w:val="none"/>
          <w:shd w:val="clear" w:color="auto" w:fill="auto"/>
        </w:rPr>
        <w:t>（二）明 细 报 价 表（格式）</w:t>
      </w:r>
    </w:p>
    <w:p>
      <w:pPr>
        <w:spacing w:line="400" w:lineRule="exact"/>
        <w:rPr>
          <w:rFonts w:hint="eastAsia" w:asciiTheme="minorEastAsia" w:hAnsiTheme="minorEastAsia" w:eastAsiaTheme="minorEastAsia" w:cstheme="minorEastAsia"/>
          <w:color w:val="auto"/>
          <w:spacing w:val="-18"/>
          <w:sz w:val="24"/>
          <w:szCs w:val="24"/>
          <w:highlight w:val="none"/>
          <w:u w:val="single"/>
          <w:shd w:val="clear" w:color="auto" w:fill="auto"/>
        </w:rPr>
      </w:pPr>
      <w:r>
        <w:rPr>
          <w:rFonts w:hint="eastAsia" w:asciiTheme="minorEastAsia" w:hAnsiTheme="minorEastAsia" w:eastAsiaTheme="minorEastAsia" w:cstheme="minorEastAsia"/>
          <w:color w:val="auto"/>
          <w:spacing w:val="-18"/>
          <w:sz w:val="24"/>
          <w:szCs w:val="24"/>
          <w:highlight w:val="none"/>
          <w:shd w:val="clear" w:color="auto" w:fill="auto"/>
        </w:rPr>
        <w:t>项目名称：</w:t>
      </w:r>
    </w:p>
    <w:tbl>
      <w:tblPr>
        <w:tblStyle w:val="10"/>
        <w:tblW w:w="13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608"/>
        <w:gridCol w:w="2112"/>
        <w:gridCol w:w="1944"/>
        <w:gridCol w:w="1164"/>
        <w:gridCol w:w="924"/>
        <w:gridCol w:w="852"/>
        <w:gridCol w:w="936"/>
        <w:gridCol w:w="142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rPr>
            </w:pPr>
            <w:r>
              <w:rPr>
                <w:rFonts w:hint="eastAsia" w:ascii="方正黑体_GBK" w:hAnsi="方正黑体_GBK" w:eastAsia="方正黑体_GBK" w:cs="方正黑体_GBK"/>
                <w:b w:val="0"/>
                <w:bCs/>
                <w:color w:val="auto"/>
                <w:sz w:val="21"/>
                <w:szCs w:val="21"/>
                <w:highlight w:val="none"/>
                <w:shd w:val="clear" w:color="auto" w:fill="auto"/>
              </w:rPr>
              <w:t>序号</w:t>
            </w: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rPr>
            </w:pPr>
            <w:r>
              <w:rPr>
                <w:rFonts w:hint="eastAsia" w:ascii="方正黑体_GBK" w:hAnsi="方正黑体_GBK" w:eastAsia="方正黑体_GBK" w:cs="方正黑体_GBK"/>
                <w:b w:val="0"/>
                <w:bCs/>
                <w:color w:val="auto"/>
                <w:sz w:val="21"/>
                <w:szCs w:val="21"/>
                <w:highlight w:val="none"/>
                <w:shd w:val="clear" w:color="auto" w:fill="auto"/>
              </w:rPr>
              <w:t>产品名称</w:t>
            </w:r>
          </w:p>
        </w:tc>
        <w:tc>
          <w:tcPr>
            <w:tcW w:w="21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rPr>
            </w:pPr>
            <w:r>
              <w:rPr>
                <w:rFonts w:hint="eastAsia" w:ascii="方正黑体_GBK" w:hAnsi="方正黑体_GBK" w:eastAsia="方正黑体_GBK" w:cs="方正黑体_GBK"/>
                <w:b w:val="0"/>
                <w:bCs/>
                <w:color w:val="auto"/>
                <w:sz w:val="21"/>
                <w:szCs w:val="21"/>
                <w:highlight w:val="none"/>
                <w:shd w:val="clear" w:color="auto" w:fill="auto"/>
              </w:rPr>
              <w:t>品牌及产地</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rPr>
            </w:pPr>
            <w:r>
              <w:rPr>
                <w:rFonts w:hint="eastAsia" w:ascii="方正黑体_GBK" w:hAnsi="方正黑体_GBK" w:eastAsia="方正黑体_GBK" w:cs="方正黑体_GBK"/>
                <w:b w:val="0"/>
                <w:bCs/>
                <w:color w:val="auto"/>
                <w:sz w:val="21"/>
                <w:szCs w:val="21"/>
                <w:highlight w:val="none"/>
                <w:shd w:val="clear" w:color="auto" w:fill="auto"/>
              </w:rPr>
              <w:t>制造商名称</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rPr>
            </w:pPr>
            <w:r>
              <w:rPr>
                <w:rFonts w:hint="eastAsia" w:ascii="方正黑体_GBK" w:hAnsi="方正黑体_GBK" w:eastAsia="方正黑体_GBK" w:cs="方正黑体_GBK"/>
                <w:b w:val="0"/>
                <w:bCs/>
                <w:color w:val="auto"/>
                <w:sz w:val="21"/>
                <w:szCs w:val="21"/>
                <w:highlight w:val="none"/>
                <w:shd w:val="clear" w:color="auto" w:fill="auto"/>
              </w:rPr>
              <w:t>规格型号</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rPr>
            </w:pPr>
            <w:r>
              <w:rPr>
                <w:rFonts w:hint="eastAsia" w:ascii="方正黑体_GBK" w:hAnsi="方正黑体_GBK" w:eastAsia="方正黑体_GBK" w:cs="方正黑体_GBK"/>
                <w:b w:val="0"/>
                <w:bCs/>
                <w:color w:val="auto"/>
                <w:sz w:val="21"/>
                <w:szCs w:val="21"/>
                <w:highlight w:val="none"/>
                <w:shd w:val="clear" w:color="auto" w:fill="auto"/>
                <w:lang w:val="en-US" w:eastAsia="zh-CN"/>
              </w:rPr>
              <w:t>单位</w:t>
            </w:r>
            <w:r>
              <w:rPr>
                <w:rFonts w:hint="eastAsia" w:ascii="方正黑体_GBK" w:hAnsi="方正黑体_GBK" w:eastAsia="方正黑体_GBK" w:cs="方正黑体_GBK"/>
                <w:b w:val="0"/>
                <w:bCs/>
                <w:color w:val="auto"/>
                <w:sz w:val="21"/>
                <w:szCs w:val="21"/>
                <w:highlight w:val="none"/>
                <w:shd w:val="clear" w:color="auto" w:fill="auto"/>
              </w:rPr>
              <w:t xml:space="preserve"> </w:t>
            </w:r>
          </w:p>
        </w:tc>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lang w:val="en-US" w:eastAsia="zh-CN"/>
              </w:rPr>
            </w:pPr>
            <w:r>
              <w:rPr>
                <w:rFonts w:hint="eastAsia" w:ascii="方正黑体_GBK" w:hAnsi="方正黑体_GBK" w:eastAsia="方正黑体_GBK" w:cs="方正黑体_GBK"/>
                <w:b w:val="0"/>
                <w:bCs/>
                <w:color w:val="auto"/>
                <w:sz w:val="21"/>
                <w:szCs w:val="21"/>
                <w:highlight w:val="none"/>
                <w:shd w:val="clear" w:color="auto" w:fill="auto"/>
              </w:rPr>
              <w:t>数量</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lang w:val="en-US" w:eastAsia="zh-CN"/>
              </w:rPr>
            </w:pPr>
            <w:r>
              <w:rPr>
                <w:rFonts w:hint="eastAsia" w:ascii="方正黑体_GBK" w:hAnsi="方正黑体_GBK" w:eastAsia="方正黑体_GBK" w:cs="方正黑体_GBK"/>
                <w:b w:val="0"/>
                <w:bCs/>
                <w:color w:val="auto"/>
                <w:sz w:val="21"/>
                <w:szCs w:val="21"/>
                <w:highlight w:val="none"/>
                <w:shd w:val="clear" w:color="auto" w:fill="auto"/>
                <w:lang w:val="en-US" w:eastAsia="zh-CN"/>
              </w:rPr>
              <w:t>单价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rPr>
            </w:pPr>
            <w:r>
              <w:rPr>
                <w:rFonts w:hint="eastAsia" w:ascii="方正黑体_GBK" w:hAnsi="方正黑体_GBK" w:eastAsia="方正黑体_GBK" w:cs="方正黑体_GBK"/>
                <w:b w:val="0"/>
                <w:bCs/>
                <w:color w:val="auto"/>
                <w:sz w:val="21"/>
                <w:szCs w:val="21"/>
                <w:highlight w:val="none"/>
                <w:shd w:val="clear" w:color="auto" w:fill="auto"/>
                <w:lang w:val="en-US" w:eastAsia="zh-CN"/>
              </w:rPr>
              <w:t>（元）</w:t>
            </w: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rPr>
            </w:pPr>
            <w:r>
              <w:rPr>
                <w:rFonts w:hint="eastAsia" w:ascii="方正黑体_GBK" w:hAnsi="方正黑体_GBK" w:eastAsia="方正黑体_GBK" w:cs="方正黑体_GBK"/>
                <w:b w:val="0"/>
                <w:bCs/>
                <w:color w:val="auto"/>
                <w:sz w:val="21"/>
                <w:szCs w:val="21"/>
                <w:highlight w:val="none"/>
                <w:shd w:val="clear" w:color="auto" w:fill="auto"/>
              </w:rPr>
              <w:t>合计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lang w:val="en-US" w:eastAsia="zh-CN"/>
              </w:rPr>
            </w:pPr>
            <w:r>
              <w:rPr>
                <w:rFonts w:hint="eastAsia" w:ascii="方正黑体_GBK" w:hAnsi="方正黑体_GBK" w:eastAsia="方正黑体_GBK" w:cs="方正黑体_GBK"/>
                <w:b w:val="0"/>
                <w:bCs/>
                <w:color w:val="auto"/>
                <w:sz w:val="21"/>
                <w:szCs w:val="21"/>
                <w:highlight w:val="none"/>
                <w:shd w:val="clear" w:color="auto" w:fill="auto"/>
              </w:rPr>
              <w:t>（</w:t>
            </w:r>
            <w:r>
              <w:rPr>
                <w:rFonts w:hint="eastAsia" w:ascii="方正黑体_GBK" w:hAnsi="方正黑体_GBK" w:eastAsia="方正黑体_GBK" w:cs="方正黑体_GBK"/>
                <w:b w:val="0"/>
                <w:bCs/>
                <w:color w:val="auto"/>
                <w:sz w:val="21"/>
                <w:szCs w:val="21"/>
                <w:highlight w:val="none"/>
                <w:shd w:val="clear" w:color="auto" w:fill="auto"/>
                <w:lang w:val="en-US" w:eastAsia="zh-CN"/>
              </w:rPr>
              <w:t>元）</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color w:val="auto"/>
                <w:sz w:val="21"/>
                <w:szCs w:val="21"/>
                <w:highlight w:val="none"/>
                <w:shd w:val="clear" w:color="auto" w:fill="auto"/>
                <w:lang w:val="en-US" w:eastAsia="zh-CN"/>
              </w:rPr>
            </w:pPr>
            <w:r>
              <w:rPr>
                <w:rFonts w:hint="eastAsia" w:ascii="方正黑体_GBK" w:hAnsi="方正黑体_GBK" w:eastAsia="方正黑体_GBK" w:cs="方正黑体_GBK"/>
                <w:b w:val="0"/>
                <w:bCs/>
                <w:color w:val="auto"/>
                <w:sz w:val="21"/>
                <w:szCs w:val="21"/>
                <w:highlight w:val="none"/>
                <w:shd w:val="clear" w:color="auto" w:fil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79" w:name="_Toc29123"/>
            <w:bookmarkStart w:id="80" w:name="_Toc20502"/>
            <w:r>
              <w:rPr>
                <w:rFonts w:hint="eastAsia" w:asciiTheme="minorEastAsia" w:hAnsiTheme="minorEastAsia" w:eastAsiaTheme="minorEastAsia" w:cstheme="minorEastAsia"/>
                <w:color w:val="auto"/>
                <w:sz w:val="21"/>
                <w:szCs w:val="21"/>
                <w:highlight w:val="none"/>
                <w:shd w:val="clear" w:color="auto" w:fill="auto"/>
              </w:rPr>
              <w:t>1</w:t>
            </w:r>
            <w:bookmarkEnd w:id="79"/>
            <w:bookmarkEnd w:id="80"/>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81" w:name="_Toc7344"/>
            <w:bookmarkStart w:id="82" w:name="_Toc10677"/>
            <w:r>
              <w:rPr>
                <w:rFonts w:hint="eastAsia" w:asciiTheme="minorEastAsia" w:hAnsiTheme="minorEastAsia" w:eastAsiaTheme="minorEastAsia" w:cstheme="minorEastAsia"/>
                <w:color w:val="auto"/>
                <w:sz w:val="21"/>
                <w:szCs w:val="21"/>
                <w:highlight w:val="none"/>
                <w:shd w:val="clear" w:color="auto" w:fill="auto"/>
              </w:rPr>
              <w:t>2</w:t>
            </w:r>
            <w:bookmarkEnd w:id="81"/>
            <w:bookmarkEnd w:id="82"/>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83" w:name="_Toc19876"/>
            <w:bookmarkStart w:id="84" w:name="_Toc5803"/>
            <w:r>
              <w:rPr>
                <w:rFonts w:hint="eastAsia" w:asciiTheme="minorEastAsia" w:hAnsiTheme="minorEastAsia" w:eastAsiaTheme="minorEastAsia" w:cstheme="minorEastAsia"/>
                <w:color w:val="auto"/>
                <w:sz w:val="21"/>
                <w:szCs w:val="21"/>
                <w:highlight w:val="none"/>
                <w:shd w:val="clear" w:color="auto" w:fill="auto"/>
              </w:rPr>
              <w:t>3</w:t>
            </w:r>
            <w:bookmarkEnd w:id="83"/>
            <w:bookmarkEnd w:id="84"/>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85" w:name="_Toc21281"/>
            <w:bookmarkStart w:id="86" w:name="_Toc5154"/>
            <w:r>
              <w:rPr>
                <w:rFonts w:hint="eastAsia" w:asciiTheme="minorEastAsia" w:hAnsiTheme="minorEastAsia" w:eastAsiaTheme="minorEastAsia" w:cstheme="minorEastAsia"/>
                <w:color w:val="auto"/>
                <w:sz w:val="21"/>
                <w:szCs w:val="21"/>
                <w:highlight w:val="none"/>
                <w:shd w:val="clear" w:color="auto" w:fill="auto"/>
              </w:rPr>
              <w:t>4</w:t>
            </w:r>
            <w:bookmarkEnd w:id="85"/>
            <w:bookmarkEnd w:id="86"/>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87" w:name="_Toc9152"/>
            <w:bookmarkStart w:id="88" w:name="_Toc1656"/>
            <w:r>
              <w:rPr>
                <w:rFonts w:hint="eastAsia" w:asciiTheme="minorEastAsia" w:hAnsiTheme="minorEastAsia" w:eastAsiaTheme="minorEastAsia" w:cstheme="minorEastAsia"/>
                <w:color w:val="auto"/>
                <w:sz w:val="21"/>
                <w:szCs w:val="21"/>
                <w:highlight w:val="none"/>
                <w:shd w:val="clear" w:color="auto" w:fill="auto"/>
              </w:rPr>
              <w:t>5</w:t>
            </w:r>
            <w:bookmarkEnd w:id="87"/>
            <w:bookmarkEnd w:id="88"/>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89" w:name="_Toc10353"/>
            <w:bookmarkStart w:id="90" w:name="_Toc12240"/>
            <w:r>
              <w:rPr>
                <w:rFonts w:hint="eastAsia" w:asciiTheme="minorEastAsia" w:hAnsiTheme="minorEastAsia" w:eastAsiaTheme="minorEastAsia" w:cstheme="minorEastAsia"/>
                <w:color w:val="auto"/>
                <w:sz w:val="21"/>
                <w:szCs w:val="21"/>
                <w:highlight w:val="none"/>
                <w:shd w:val="clear" w:color="auto" w:fill="auto"/>
              </w:rPr>
              <w:t>6</w:t>
            </w:r>
            <w:bookmarkEnd w:id="89"/>
            <w:bookmarkEnd w:id="90"/>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91" w:name="_Toc28233"/>
            <w:bookmarkStart w:id="92" w:name="_Toc27656"/>
            <w:r>
              <w:rPr>
                <w:rFonts w:hint="eastAsia" w:asciiTheme="minorEastAsia" w:hAnsiTheme="minorEastAsia" w:eastAsiaTheme="minorEastAsia" w:cstheme="minorEastAsia"/>
                <w:color w:val="auto"/>
                <w:sz w:val="21"/>
                <w:szCs w:val="21"/>
                <w:highlight w:val="none"/>
                <w:shd w:val="clear" w:color="auto" w:fill="auto"/>
              </w:rPr>
              <w:t>7</w:t>
            </w:r>
            <w:bookmarkEnd w:id="91"/>
            <w:bookmarkEnd w:id="92"/>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93" w:name="_Toc10097"/>
            <w:bookmarkStart w:id="94" w:name="_Toc13712"/>
            <w:r>
              <w:rPr>
                <w:rFonts w:hint="eastAsia" w:asciiTheme="minorEastAsia" w:hAnsiTheme="minorEastAsia" w:eastAsiaTheme="minorEastAsia" w:cstheme="minorEastAsia"/>
                <w:color w:val="auto"/>
                <w:sz w:val="21"/>
                <w:szCs w:val="21"/>
                <w:highlight w:val="none"/>
                <w:shd w:val="clear" w:color="auto" w:fill="auto"/>
              </w:rPr>
              <w:t>8</w:t>
            </w:r>
            <w:bookmarkEnd w:id="93"/>
            <w:bookmarkEnd w:id="94"/>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95" w:name="_Toc6045"/>
            <w:bookmarkStart w:id="96" w:name="_Toc6814"/>
            <w:r>
              <w:rPr>
                <w:rFonts w:hint="eastAsia" w:asciiTheme="minorEastAsia" w:hAnsiTheme="minorEastAsia" w:eastAsiaTheme="minorEastAsia" w:cstheme="minorEastAsia"/>
                <w:color w:val="auto"/>
                <w:sz w:val="21"/>
                <w:szCs w:val="21"/>
                <w:highlight w:val="none"/>
                <w:shd w:val="clear" w:color="auto" w:fill="auto"/>
              </w:rPr>
              <w:t>9</w:t>
            </w:r>
            <w:bookmarkEnd w:id="95"/>
            <w:bookmarkEnd w:id="96"/>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97" w:name="_Toc26892"/>
            <w:bookmarkStart w:id="98" w:name="_Toc18943"/>
            <w:r>
              <w:rPr>
                <w:rFonts w:hint="eastAsia" w:asciiTheme="minorEastAsia" w:hAnsiTheme="minorEastAsia" w:eastAsiaTheme="minorEastAsia" w:cstheme="minorEastAsia"/>
                <w:color w:val="auto"/>
                <w:sz w:val="21"/>
                <w:szCs w:val="21"/>
                <w:highlight w:val="none"/>
                <w:shd w:val="clear" w:color="auto" w:fill="auto"/>
              </w:rPr>
              <w:t>10</w:t>
            </w:r>
            <w:bookmarkEnd w:id="97"/>
            <w:bookmarkEnd w:id="98"/>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99" w:name="_Toc26797"/>
            <w:bookmarkStart w:id="100" w:name="_Toc32079"/>
            <w:r>
              <w:rPr>
                <w:rFonts w:hint="eastAsia" w:asciiTheme="minorEastAsia" w:hAnsiTheme="minorEastAsia" w:eastAsiaTheme="minorEastAsia" w:cstheme="minorEastAsia"/>
                <w:color w:val="auto"/>
                <w:sz w:val="21"/>
                <w:szCs w:val="21"/>
                <w:highlight w:val="none"/>
                <w:shd w:val="clear" w:color="auto" w:fill="auto"/>
              </w:rPr>
              <w:t>11</w:t>
            </w:r>
            <w:bookmarkEnd w:id="99"/>
            <w:bookmarkEnd w:id="100"/>
          </w:p>
        </w:tc>
        <w:tc>
          <w:tcPr>
            <w:tcW w:w="1608"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w:t>
            </w:r>
          </w:p>
        </w:tc>
        <w:tc>
          <w:tcPr>
            <w:tcW w:w="211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94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164"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24" w:type="dxa"/>
            <w:noWrap w:val="0"/>
            <w:vAlign w:val="center"/>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852"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936"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428"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c>
          <w:tcPr>
            <w:tcW w:w="1530" w:type="dxa"/>
            <w:noWrap w:val="0"/>
            <w:vAlign w:val="top"/>
          </w:tcPr>
          <w:p>
            <w:pPr>
              <w:spacing w:line="400" w:lineRule="exact"/>
              <w:jc w:val="center"/>
              <w:outlineLvl w:val="9"/>
              <w:rPr>
                <w:rFonts w:hint="eastAsia" w:asciiTheme="minorEastAsia" w:hAnsiTheme="minorEastAsia" w:eastAsiaTheme="minorEastAsia" w:cstheme="minorEastAsia"/>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0" w:type="dxa"/>
            <w:noWrap w:val="0"/>
            <w:vAlign w:val="center"/>
          </w:tcPr>
          <w:p>
            <w:pPr>
              <w:pStyle w:val="5"/>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shd w:val="clear" w:color="auto" w:fill="auto"/>
              </w:rPr>
            </w:pPr>
            <w:bookmarkStart w:id="101" w:name="_Toc7061"/>
            <w:bookmarkStart w:id="102" w:name="_Toc27861"/>
            <w:r>
              <w:rPr>
                <w:rFonts w:hint="eastAsia" w:asciiTheme="minorEastAsia" w:hAnsiTheme="minorEastAsia" w:eastAsiaTheme="minorEastAsia" w:cstheme="minorEastAsia"/>
                <w:color w:val="auto"/>
                <w:sz w:val="21"/>
                <w:szCs w:val="21"/>
                <w:highlight w:val="none"/>
                <w:shd w:val="clear" w:color="auto" w:fill="auto"/>
              </w:rPr>
              <w:t>12</w:t>
            </w:r>
            <w:bookmarkEnd w:id="101"/>
            <w:bookmarkEnd w:id="102"/>
          </w:p>
        </w:tc>
        <w:tc>
          <w:tcPr>
            <w:tcW w:w="9540" w:type="dxa"/>
            <w:gridSpan w:val="7"/>
            <w:noWrap w:val="0"/>
            <w:vAlign w:val="center"/>
          </w:tcPr>
          <w:p>
            <w:pPr>
              <w:spacing w:line="400" w:lineRule="exact"/>
              <w:outlineLvl w:val="9"/>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rPr>
              <w:t>总计</w:t>
            </w:r>
            <w:r>
              <w:rPr>
                <w:rFonts w:hint="eastAsia" w:asciiTheme="minorEastAsia" w:hAnsiTheme="minorEastAsia" w:eastAsiaTheme="minorEastAsia" w:cstheme="minorEastAsia"/>
                <w:color w:val="auto"/>
                <w:sz w:val="21"/>
                <w:szCs w:val="21"/>
                <w:highlight w:val="none"/>
                <w:shd w:val="clear" w:color="auto" w:fill="auto"/>
                <w:lang w:val="en-US" w:eastAsia="zh-CN"/>
              </w:rPr>
              <w:t>大写：</w:t>
            </w:r>
          </w:p>
        </w:tc>
        <w:tc>
          <w:tcPr>
            <w:tcW w:w="1428" w:type="dxa"/>
            <w:noWrap w:val="0"/>
            <w:vAlign w:val="top"/>
          </w:tcPr>
          <w:p>
            <w:pPr>
              <w:spacing w:line="400" w:lineRule="exact"/>
              <w:outlineLvl w:val="9"/>
              <w:rPr>
                <w:rFonts w:hint="eastAsia" w:asciiTheme="minorEastAsia" w:hAnsiTheme="minorEastAsia" w:eastAsiaTheme="minorEastAsia" w:cstheme="minorEastAsia"/>
                <w:color w:val="auto"/>
                <w:sz w:val="21"/>
                <w:szCs w:val="21"/>
                <w:highlight w:val="none"/>
                <w:shd w:val="clear" w:color="auto" w:fill="auto"/>
              </w:rPr>
            </w:pPr>
            <w:r>
              <w:rPr>
                <w:rFonts w:hint="default" w:ascii="Arial" w:hAnsi="Arial" w:cs="Arial" w:eastAsiaTheme="minorEastAsia"/>
                <w:color w:val="auto"/>
                <w:sz w:val="21"/>
                <w:szCs w:val="21"/>
                <w:highlight w:val="none"/>
                <w:shd w:val="clear" w:color="auto" w:fill="auto"/>
              </w:rPr>
              <w:t>¥</w:t>
            </w:r>
          </w:p>
        </w:tc>
        <w:tc>
          <w:tcPr>
            <w:tcW w:w="1530" w:type="dxa"/>
            <w:noWrap w:val="0"/>
            <w:vAlign w:val="top"/>
          </w:tcPr>
          <w:p>
            <w:pPr>
              <w:spacing w:line="400" w:lineRule="exact"/>
              <w:outlineLvl w:val="9"/>
              <w:rPr>
                <w:rFonts w:hint="eastAsia" w:asciiTheme="minorEastAsia" w:hAnsiTheme="minorEastAsia" w:eastAsiaTheme="minorEastAsia" w:cstheme="minorEastAsia"/>
                <w:color w:val="auto"/>
                <w:sz w:val="21"/>
                <w:szCs w:val="21"/>
                <w:highlight w:val="none"/>
                <w:shd w:val="clear" w:color="auto" w:fill="auto"/>
              </w:rPr>
            </w:pPr>
          </w:p>
        </w:tc>
      </w:tr>
    </w:tbl>
    <w:p>
      <w:pPr>
        <w:spacing w:line="400" w:lineRule="exact"/>
        <w:ind w:firstLine="6120" w:firstLineChars="3000"/>
        <w:rPr>
          <w:rFonts w:hint="eastAsia" w:asciiTheme="minorEastAsia" w:hAnsiTheme="minorEastAsia" w:eastAsiaTheme="minorEastAsia" w:cstheme="minorEastAsia"/>
          <w:color w:val="auto"/>
          <w:spacing w:val="-18"/>
          <w:sz w:val="24"/>
          <w:szCs w:val="24"/>
          <w:highlight w:val="none"/>
          <w:shd w:val="clear" w:color="auto" w:fill="auto"/>
        </w:rPr>
      </w:pPr>
      <w:r>
        <w:rPr>
          <w:rFonts w:hint="eastAsia" w:asciiTheme="minorEastAsia" w:hAnsiTheme="minorEastAsia" w:eastAsiaTheme="minorEastAsia" w:cstheme="minorEastAsia"/>
          <w:color w:val="auto"/>
          <w:spacing w:val="-18"/>
          <w:sz w:val="24"/>
          <w:szCs w:val="24"/>
          <w:highlight w:val="none"/>
          <w:shd w:val="clear" w:color="auto" w:fill="auto"/>
        </w:rPr>
        <w:t>供应商</w:t>
      </w:r>
      <w:r>
        <w:rPr>
          <w:rFonts w:hint="eastAsia" w:asciiTheme="minorEastAsia" w:hAnsiTheme="minorEastAsia" w:eastAsiaTheme="minorEastAsia" w:cstheme="minorEastAsia"/>
          <w:color w:val="auto"/>
          <w:spacing w:val="-18"/>
          <w:sz w:val="24"/>
          <w:szCs w:val="24"/>
          <w:highlight w:val="none"/>
          <w:shd w:val="clear" w:color="auto" w:fill="auto"/>
          <w:lang w:eastAsia="zh-CN"/>
        </w:rPr>
        <w:t>（</w:t>
      </w:r>
      <w:r>
        <w:rPr>
          <w:rFonts w:hint="eastAsia" w:asciiTheme="minorEastAsia" w:hAnsiTheme="minorEastAsia" w:eastAsiaTheme="minorEastAsia" w:cstheme="minorEastAsia"/>
          <w:color w:val="auto"/>
          <w:spacing w:val="-18"/>
          <w:sz w:val="24"/>
          <w:szCs w:val="24"/>
          <w:highlight w:val="none"/>
          <w:shd w:val="clear" w:color="auto" w:fill="auto"/>
        </w:rPr>
        <w:t>公章）</w:t>
      </w:r>
      <w:r>
        <w:rPr>
          <w:rFonts w:hint="eastAsia" w:asciiTheme="minorEastAsia" w:hAnsiTheme="minorEastAsia" w:eastAsiaTheme="minorEastAsia" w:cstheme="minorEastAsia"/>
          <w:color w:val="auto"/>
          <w:spacing w:val="-18"/>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pacing w:val="-18"/>
          <w:sz w:val="24"/>
          <w:szCs w:val="24"/>
          <w:highlight w:val="none"/>
          <w:shd w:val="clear" w:color="auto" w:fill="auto"/>
        </w:rPr>
        <w:t>：</w:t>
      </w:r>
      <w:r>
        <w:rPr>
          <w:rFonts w:hint="eastAsia" w:asciiTheme="minorEastAsia" w:hAnsiTheme="minorEastAsia" w:eastAsiaTheme="minorEastAsia" w:cstheme="minorEastAsia"/>
          <w:color w:val="auto"/>
          <w:spacing w:val="-18"/>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pacing w:val="-18"/>
          <w:sz w:val="24"/>
          <w:szCs w:val="24"/>
          <w:highlight w:val="none"/>
          <w:shd w:val="clear" w:color="auto" w:fill="auto"/>
          <w:lang w:val="en-US" w:eastAsia="zh-CN"/>
        </w:rPr>
        <w:t xml:space="preserve">            </w:t>
      </w:r>
      <w:r>
        <w:rPr>
          <w:rFonts w:hint="eastAsia" w:asciiTheme="minorEastAsia" w:hAnsiTheme="minorEastAsia" w:eastAsiaTheme="minorEastAsia" w:cstheme="minorEastAsia"/>
          <w:color w:val="auto"/>
          <w:spacing w:val="-18"/>
          <w:sz w:val="24"/>
          <w:szCs w:val="24"/>
          <w:highlight w:val="none"/>
          <w:shd w:val="clear" w:color="auto" w:fill="auto"/>
        </w:rPr>
        <w:t xml:space="preserve"> </w:t>
      </w:r>
    </w:p>
    <w:p>
      <w:pPr>
        <w:spacing w:line="400" w:lineRule="exact"/>
        <w:rPr>
          <w:rFonts w:hint="eastAsia" w:asciiTheme="minorEastAsia" w:hAnsiTheme="minorEastAsia" w:eastAsiaTheme="minorEastAsia" w:cstheme="minorEastAsia"/>
          <w:color w:val="auto"/>
          <w:spacing w:val="-18"/>
          <w:sz w:val="24"/>
          <w:szCs w:val="24"/>
          <w:highlight w:val="none"/>
          <w:shd w:val="clear" w:color="auto" w:fill="auto"/>
        </w:rPr>
      </w:pPr>
    </w:p>
    <w:p>
      <w:pPr>
        <w:spacing w:line="400" w:lineRule="exact"/>
        <w:ind w:firstLine="6120" w:firstLineChars="3000"/>
        <w:rPr>
          <w:rFonts w:hint="eastAsia" w:asciiTheme="minorEastAsia" w:hAnsiTheme="minorEastAsia" w:eastAsiaTheme="minorEastAsia" w:cstheme="minorEastAsia"/>
          <w:color w:val="auto"/>
          <w:spacing w:val="-18"/>
          <w:sz w:val="24"/>
          <w:szCs w:val="24"/>
          <w:highlight w:val="none"/>
          <w:shd w:val="clear" w:color="auto" w:fill="auto"/>
        </w:rPr>
      </w:pPr>
      <w:r>
        <w:rPr>
          <w:rFonts w:hint="eastAsia" w:asciiTheme="minorEastAsia" w:hAnsiTheme="minorEastAsia" w:eastAsiaTheme="minorEastAsia" w:cstheme="minorEastAsia"/>
          <w:color w:val="auto"/>
          <w:spacing w:val="-18"/>
          <w:sz w:val="24"/>
          <w:szCs w:val="24"/>
          <w:highlight w:val="none"/>
          <w:shd w:val="clear" w:color="auto" w:fill="auto"/>
        </w:rPr>
        <w:t>法定代表人（或法定代表人授权代表）或自然人（签署或盖章）：</w:t>
      </w:r>
    </w:p>
    <w:p>
      <w:pPr>
        <w:spacing w:line="400" w:lineRule="exact"/>
        <w:rPr>
          <w:rFonts w:hint="eastAsia" w:asciiTheme="minorEastAsia" w:hAnsiTheme="minorEastAsia" w:eastAsiaTheme="minorEastAsia" w:cstheme="minorEastAsia"/>
          <w:color w:val="auto"/>
          <w:spacing w:val="-18"/>
          <w:sz w:val="24"/>
          <w:szCs w:val="24"/>
          <w:highlight w:val="none"/>
          <w:shd w:val="clear" w:color="auto" w:fill="auto"/>
        </w:rPr>
      </w:pPr>
      <w:r>
        <w:rPr>
          <w:rFonts w:hint="eastAsia" w:asciiTheme="minorEastAsia" w:hAnsiTheme="minorEastAsia" w:eastAsiaTheme="minorEastAsia" w:cstheme="minorEastAsia"/>
          <w:color w:val="auto"/>
          <w:spacing w:val="-18"/>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pacing w:val="-18"/>
          <w:sz w:val="24"/>
          <w:szCs w:val="24"/>
          <w:highlight w:val="none"/>
          <w:shd w:val="clear" w:color="auto" w:fill="auto"/>
          <w:lang w:val="en-US" w:eastAsia="zh-CN"/>
        </w:rPr>
        <w:t xml:space="preserve">                                                          </w:t>
      </w:r>
      <w:r>
        <w:rPr>
          <w:rFonts w:hint="eastAsia" w:asciiTheme="minorEastAsia" w:hAnsiTheme="minorEastAsia" w:eastAsiaTheme="minorEastAsia" w:cstheme="minorEastAsia"/>
          <w:color w:val="auto"/>
          <w:spacing w:val="-18"/>
          <w:sz w:val="24"/>
          <w:szCs w:val="24"/>
          <w:highlight w:val="none"/>
          <w:shd w:val="clear" w:color="auto" w:fill="auto"/>
        </w:rPr>
        <w:t>年</w:t>
      </w:r>
      <w:r>
        <w:rPr>
          <w:rFonts w:hint="eastAsia" w:asciiTheme="minorEastAsia" w:hAnsiTheme="minorEastAsia" w:eastAsiaTheme="minorEastAsia" w:cstheme="minorEastAsia"/>
          <w:color w:val="auto"/>
          <w:spacing w:val="-18"/>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pacing w:val="-18"/>
          <w:sz w:val="24"/>
          <w:szCs w:val="24"/>
          <w:highlight w:val="none"/>
          <w:shd w:val="clear" w:color="auto" w:fill="auto"/>
        </w:rPr>
        <w:t xml:space="preserve"> 月</w:t>
      </w:r>
      <w:r>
        <w:rPr>
          <w:rFonts w:hint="eastAsia" w:asciiTheme="minorEastAsia" w:hAnsiTheme="minorEastAsia" w:eastAsiaTheme="minorEastAsia" w:cstheme="minorEastAsia"/>
          <w:color w:val="auto"/>
          <w:spacing w:val="-18"/>
          <w:sz w:val="24"/>
          <w:szCs w:val="24"/>
          <w:highlight w:val="none"/>
          <w:shd w:val="clear" w:color="auto" w:fill="auto"/>
          <w:lang w:eastAsia="zh-CN"/>
        </w:rPr>
        <w:t xml:space="preserve">  </w:t>
      </w:r>
      <w:r>
        <w:rPr>
          <w:rFonts w:hint="eastAsia" w:asciiTheme="minorEastAsia" w:hAnsiTheme="minorEastAsia" w:eastAsiaTheme="minorEastAsia" w:cstheme="minorEastAsia"/>
          <w:color w:val="auto"/>
          <w:spacing w:val="-18"/>
          <w:sz w:val="24"/>
          <w:szCs w:val="24"/>
          <w:highlight w:val="none"/>
          <w:shd w:val="clear" w:color="auto" w:fill="auto"/>
        </w:rPr>
        <w:t xml:space="preserve"> 日</w:t>
      </w:r>
    </w:p>
    <w:p>
      <w:pPr>
        <w:spacing w:line="400" w:lineRule="exact"/>
        <w:rPr>
          <w:rFonts w:hint="eastAsia" w:asciiTheme="minorEastAsia" w:hAnsiTheme="minorEastAsia" w:eastAsiaTheme="minorEastAsia" w:cstheme="minorEastAsia"/>
          <w:color w:val="auto"/>
          <w:spacing w:val="-18"/>
          <w:sz w:val="24"/>
          <w:szCs w:val="24"/>
          <w:highlight w:val="none"/>
          <w:shd w:val="clear" w:color="auto" w:fill="auto"/>
        </w:rPr>
      </w:pPr>
      <w:r>
        <w:rPr>
          <w:rFonts w:hint="eastAsia" w:asciiTheme="minorEastAsia" w:hAnsiTheme="minorEastAsia" w:eastAsiaTheme="minorEastAsia" w:cstheme="minorEastAsia"/>
          <w:color w:val="auto"/>
          <w:spacing w:val="-18"/>
          <w:sz w:val="24"/>
          <w:szCs w:val="24"/>
          <w:highlight w:val="none"/>
          <w:shd w:val="clear" w:color="auto" w:fill="auto"/>
        </w:rPr>
        <w:t>注：1.请供应商完整填写本表；</w:t>
      </w:r>
    </w:p>
    <w:p>
      <w:pPr>
        <w:spacing w:line="400" w:lineRule="exact"/>
        <w:ind w:firstLine="408" w:firstLineChars="200"/>
        <w:rPr>
          <w:rFonts w:hint="eastAsia" w:asciiTheme="minorEastAsia" w:hAnsiTheme="minorEastAsia" w:eastAsiaTheme="minorEastAsia" w:cstheme="minorEastAsia"/>
          <w:color w:val="auto"/>
          <w:spacing w:val="-18"/>
          <w:sz w:val="24"/>
          <w:szCs w:val="24"/>
          <w:highlight w:val="none"/>
          <w:shd w:val="clear" w:color="auto" w:fill="auto"/>
        </w:rPr>
        <w:sectPr>
          <w:pgSz w:w="16840" w:h="11907" w:orient="landscape"/>
          <w:pgMar w:top="1446" w:right="1984" w:bottom="1446" w:left="1644" w:header="850" w:footer="992" w:gutter="0"/>
          <w:pgNumType w:fmt="decimal"/>
          <w:cols w:space="720" w:num="1"/>
          <w:rtlGutter w:val="0"/>
          <w:docGrid w:linePitch="380" w:charSpace="0"/>
        </w:sectPr>
      </w:pPr>
      <w:r>
        <w:rPr>
          <w:rFonts w:hint="eastAsia" w:asciiTheme="minorEastAsia" w:hAnsiTheme="minorEastAsia" w:eastAsiaTheme="minorEastAsia" w:cstheme="minorEastAsia"/>
          <w:color w:val="auto"/>
          <w:spacing w:val="-18"/>
          <w:sz w:val="24"/>
          <w:szCs w:val="24"/>
          <w:highlight w:val="none"/>
          <w:shd w:val="clear" w:color="auto" w:fill="auto"/>
        </w:rPr>
        <w:t>2.该表可扩展。</w:t>
      </w:r>
    </w:p>
    <w:p>
      <w:pPr>
        <w:keepNext/>
        <w:keepLines/>
        <w:widowControl w:val="0"/>
        <w:adjustRightInd w:val="0"/>
        <w:snapToGrid w:val="0"/>
        <w:spacing w:line="500" w:lineRule="exact"/>
        <w:jc w:val="center"/>
        <w:outlineLvl w:val="1"/>
        <w:rPr>
          <w:rFonts w:hint="default" w:ascii="方正小标宋_GBK" w:hAnsi="方正小标宋_GBK" w:eastAsia="方正小标宋_GBK" w:cs="方正小标宋_GBK"/>
          <w:b w:val="0"/>
          <w:bCs/>
          <w:color w:val="auto"/>
          <w:kern w:val="2"/>
          <w:sz w:val="32"/>
          <w:szCs w:val="32"/>
          <w:highlight w:val="none"/>
          <w:shd w:val="clear" w:color="auto" w:fill="auto"/>
          <w:lang w:val="en-US" w:eastAsia="zh-CN" w:bidi="ar-SA"/>
        </w:rPr>
      </w:pPr>
      <w:bookmarkStart w:id="103" w:name="_Toc775"/>
      <w:bookmarkStart w:id="104" w:name="_Toc26752"/>
      <w:bookmarkStart w:id="105" w:name="_Toc31085"/>
      <w:r>
        <w:rPr>
          <w:rFonts w:hint="default" w:ascii="方正小标宋_GBK" w:hAnsi="方正小标宋_GBK" w:eastAsia="方正小标宋_GBK" w:cs="方正小标宋_GBK"/>
          <w:b w:val="0"/>
          <w:bCs/>
          <w:color w:val="auto"/>
          <w:kern w:val="2"/>
          <w:sz w:val="32"/>
          <w:szCs w:val="32"/>
          <w:highlight w:val="none"/>
          <w:shd w:val="clear" w:color="auto" w:fill="auto"/>
          <w:lang w:val="en-US" w:eastAsia="zh-CN" w:bidi="ar-SA"/>
        </w:rPr>
        <w:t>二、</w:t>
      </w:r>
      <w:bookmarkEnd w:id="103"/>
      <w:bookmarkEnd w:id="104"/>
      <w:r>
        <w:rPr>
          <w:rFonts w:hint="default" w:ascii="方正小标宋_GBK" w:hAnsi="方正小标宋_GBK" w:eastAsia="方正小标宋_GBK" w:cs="方正小标宋_GBK"/>
          <w:b w:val="0"/>
          <w:bCs/>
          <w:color w:val="auto"/>
          <w:kern w:val="2"/>
          <w:sz w:val="32"/>
          <w:szCs w:val="32"/>
          <w:highlight w:val="none"/>
          <w:shd w:val="clear" w:color="auto" w:fill="auto"/>
          <w:lang w:val="en-US" w:eastAsia="zh-CN" w:bidi="ar-SA"/>
        </w:rPr>
        <w:t>资格审查资料</w:t>
      </w:r>
      <w:bookmarkEnd w:id="105"/>
    </w:p>
    <w:p>
      <w:pPr>
        <w:tabs>
          <w:tab w:val="left" w:pos="6300"/>
        </w:tabs>
        <w:snapToGrid w:val="0"/>
        <w:spacing w:line="400" w:lineRule="exact"/>
        <w:jc w:val="center"/>
        <w:rPr>
          <w:rFonts w:hint="eastAsia" w:ascii="方正黑体_GBK" w:hAnsi="方正黑体_GBK" w:eastAsia="方正黑体_GBK" w:cs="方正黑体_GBK"/>
          <w:color w:val="auto"/>
          <w:sz w:val="24"/>
          <w:szCs w:val="28"/>
          <w:highlight w:val="none"/>
          <w:shd w:val="clear" w:color="auto" w:fill="auto"/>
        </w:rPr>
      </w:pPr>
      <w:r>
        <w:rPr>
          <w:rFonts w:hint="eastAsia" w:ascii="方正黑体_GBK" w:hAnsi="方正黑体_GBK" w:eastAsia="方正黑体_GBK" w:cs="方正黑体_GBK"/>
          <w:color w:val="auto"/>
          <w:sz w:val="24"/>
          <w:szCs w:val="28"/>
          <w:highlight w:val="none"/>
          <w:shd w:val="clear" w:color="auto" w:fill="auto"/>
        </w:rPr>
        <w:t>（一）法人营业执照或事业单位法人证书或社会团体法人登记证书复印件</w:t>
      </w:r>
    </w:p>
    <w:p>
      <w:pPr>
        <w:tabs>
          <w:tab w:val="left" w:pos="6300"/>
        </w:tabs>
        <w:snapToGrid w:val="0"/>
        <w:spacing w:line="400" w:lineRule="exact"/>
        <w:jc w:val="center"/>
        <w:rPr>
          <w:rFonts w:hint="eastAsia" w:asciiTheme="minorEastAsia" w:hAnsiTheme="minorEastAsia" w:eastAsiaTheme="minorEastAsia" w:cstheme="minorEastAsia"/>
          <w:color w:val="auto"/>
          <w:sz w:val="24"/>
          <w:szCs w:val="28"/>
          <w:highlight w:val="none"/>
          <w:shd w:val="clear" w:color="auto" w:fill="auto"/>
        </w:rPr>
      </w:pPr>
    </w:p>
    <w:p>
      <w:pPr>
        <w:tabs>
          <w:tab w:val="left" w:pos="6300"/>
        </w:tabs>
        <w:snapToGrid w:val="0"/>
        <w:spacing w:line="400" w:lineRule="exact"/>
        <w:jc w:val="center"/>
        <w:rPr>
          <w:rFonts w:hint="eastAsia" w:ascii="方正黑体_GBK" w:hAnsi="方正黑体_GBK" w:eastAsia="方正黑体_GBK" w:cs="方正黑体_GBK"/>
          <w:color w:val="auto"/>
          <w:sz w:val="24"/>
          <w:szCs w:val="28"/>
          <w:highlight w:val="none"/>
          <w:shd w:val="clear" w:color="auto" w:fill="auto"/>
        </w:rPr>
      </w:pPr>
      <w:r>
        <w:rPr>
          <w:rFonts w:hint="eastAsia" w:ascii="方正黑体_GBK" w:hAnsi="方正黑体_GBK" w:eastAsia="方正黑体_GBK" w:cs="方正黑体_GBK"/>
          <w:color w:val="auto"/>
          <w:sz w:val="24"/>
          <w:szCs w:val="28"/>
          <w:highlight w:val="none"/>
          <w:shd w:val="clear" w:color="auto" w:fill="auto"/>
        </w:rPr>
        <w:t>（二）法定代表人身份证明书（格式）</w:t>
      </w:r>
    </w:p>
    <w:p>
      <w:pPr>
        <w:tabs>
          <w:tab w:val="left" w:pos="6300"/>
        </w:tabs>
        <w:snapToGrid w:val="0"/>
        <w:spacing w:line="400" w:lineRule="exact"/>
        <w:rPr>
          <w:rFonts w:hint="default" w:ascii="Times New Roman" w:hAnsi="Times New Roman" w:eastAsia="仿宋" w:cs="Times New Roman"/>
          <w:color w:val="auto"/>
          <w:sz w:val="24"/>
          <w:szCs w:val="24"/>
          <w:highlight w:val="none"/>
          <w:shd w:val="clear" w:color="auto" w:fill="auto"/>
        </w:rPr>
      </w:pPr>
    </w:p>
    <w:p>
      <w:pPr>
        <w:tabs>
          <w:tab w:val="left" w:pos="6300"/>
        </w:tabs>
        <w:snapToGrid w:val="0"/>
        <w:spacing w:line="400" w:lineRule="exact"/>
        <w:rPr>
          <w:rFonts w:hint="default" w:ascii="Times New Roman" w:hAnsi="Times New Roman" w:eastAsia="仿宋" w:cs="Times New Roman"/>
          <w:color w:val="auto"/>
          <w:sz w:val="24"/>
          <w:szCs w:val="24"/>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rPr>
        <w:t>招标项目名称：</w:t>
      </w:r>
      <w:r>
        <w:rPr>
          <w:rFonts w:hint="default" w:ascii="Times New Roman" w:hAnsi="Times New Roman" w:eastAsia="仿宋" w:cs="Times New Roman"/>
          <w:color w:val="auto"/>
          <w:sz w:val="24"/>
          <w:szCs w:val="24"/>
          <w:highlight w:val="none"/>
          <w:u w:val="single"/>
          <w:shd w:val="clear" w:color="auto" w:fill="auto"/>
          <w:lang w:eastAsia="zh-CN"/>
        </w:rPr>
        <w:t xml:space="preserve">                        </w:t>
      </w:r>
    </w:p>
    <w:p>
      <w:pPr>
        <w:tabs>
          <w:tab w:val="left" w:pos="6300"/>
        </w:tabs>
        <w:snapToGrid w:val="0"/>
        <w:spacing w:line="400" w:lineRule="exact"/>
        <w:ind w:firstLine="570"/>
        <w:rPr>
          <w:rFonts w:hint="default" w:ascii="Times New Roman" w:hAnsi="Times New Roman" w:eastAsia="仿宋" w:cs="Times New Roman"/>
          <w:color w:val="auto"/>
          <w:sz w:val="24"/>
          <w:szCs w:val="24"/>
          <w:highlight w:val="none"/>
          <w:shd w:val="clear" w:color="auto" w:fill="auto"/>
        </w:rPr>
      </w:pPr>
    </w:p>
    <w:p>
      <w:pPr>
        <w:tabs>
          <w:tab w:val="left" w:pos="6300"/>
        </w:tabs>
        <w:snapToGrid w:val="0"/>
        <w:spacing w:line="400" w:lineRule="exact"/>
        <w:rPr>
          <w:rFonts w:hint="default" w:ascii="Times New Roman" w:hAnsi="Times New Roman" w:eastAsia="仿宋" w:cs="Times New Roman"/>
          <w:color w:val="auto"/>
          <w:sz w:val="24"/>
          <w:szCs w:val="24"/>
          <w:highlight w:val="none"/>
          <w:shd w:val="clear" w:color="auto" w:fill="auto"/>
        </w:rPr>
      </w:pPr>
      <w:r>
        <w:rPr>
          <w:rFonts w:hint="default" w:asciiTheme="minorEastAsia" w:hAnsiTheme="minorEastAsia" w:eastAsiaTheme="minorEastAsia" w:cstheme="minorEastAsia"/>
          <w:color w:val="auto"/>
          <w:sz w:val="24"/>
          <w:szCs w:val="28"/>
          <w:highlight w:val="none"/>
          <w:shd w:val="clear" w:color="auto" w:fill="auto"/>
        </w:rPr>
        <w:t>致：</w:t>
      </w:r>
      <w:r>
        <w:rPr>
          <w:rFonts w:hint="default" w:ascii="Times New Roman" w:hAnsi="Times New Roman" w:eastAsia="仿宋" w:cs="Times New Roman"/>
          <w:color w:val="auto"/>
          <w:sz w:val="24"/>
          <w:szCs w:val="24"/>
          <w:highlight w:val="none"/>
          <w:u w:val="single"/>
          <w:shd w:val="clear" w:color="auto" w:fill="auto"/>
          <w:lang w:eastAsia="zh-CN"/>
        </w:rPr>
        <w:t xml:space="preserve">          </w:t>
      </w:r>
      <w:r>
        <w:rPr>
          <w:rFonts w:hint="default" w:ascii="Times New Roman" w:hAnsi="Times New Roman" w:eastAsia="仿宋" w:cs="Times New Roman"/>
          <w:color w:val="auto"/>
          <w:sz w:val="24"/>
          <w:szCs w:val="24"/>
          <w:highlight w:val="none"/>
          <w:u w:val="single"/>
          <w:shd w:val="clear" w:color="auto" w:fill="auto"/>
        </w:rPr>
        <w:t xml:space="preserve"> </w:t>
      </w:r>
      <w:r>
        <w:rPr>
          <w:rFonts w:hint="default" w:asciiTheme="minorEastAsia" w:hAnsiTheme="minorEastAsia" w:eastAsiaTheme="minorEastAsia" w:cstheme="minorEastAsia"/>
          <w:color w:val="auto"/>
          <w:sz w:val="24"/>
          <w:szCs w:val="28"/>
          <w:highlight w:val="none"/>
          <w:shd w:val="clear" w:color="auto" w:fill="auto"/>
        </w:rPr>
        <w:t>（</w:t>
      </w:r>
      <w:r>
        <w:rPr>
          <w:rFonts w:hint="default" w:asciiTheme="minorEastAsia" w:hAnsiTheme="minorEastAsia" w:eastAsiaTheme="minorEastAsia" w:cstheme="minorEastAsia"/>
          <w:color w:val="auto"/>
          <w:sz w:val="24"/>
          <w:szCs w:val="28"/>
          <w:highlight w:val="none"/>
          <w:shd w:val="clear" w:color="auto" w:fill="auto"/>
          <w:lang w:eastAsia="zh-CN"/>
        </w:rPr>
        <w:t>代理机构</w:t>
      </w:r>
      <w:r>
        <w:rPr>
          <w:rFonts w:hint="default" w:asciiTheme="minorEastAsia" w:hAnsiTheme="minorEastAsia" w:eastAsiaTheme="minorEastAsia" w:cstheme="minorEastAsia"/>
          <w:color w:val="auto"/>
          <w:sz w:val="24"/>
          <w:szCs w:val="28"/>
          <w:highlight w:val="none"/>
          <w:shd w:val="clear" w:color="auto" w:fill="auto"/>
        </w:rPr>
        <w:t>名称）</w:t>
      </w:r>
      <w:r>
        <w:rPr>
          <w:rFonts w:hint="default" w:ascii="Times New Roman" w:hAnsi="Times New Roman" w:eastAsia="仿宋" w:cs="Times New Roman"/>
          <w:color w:val="auto"/>
          <w:sz w:val="24"/>
          <w:szCs w:val="24"/>
          <w:highlight w:val="none"/>
          <w:shd w:val="clear" w:color="auto" w:fill="auto"/>
        </w:rPr>
        <w:t>：</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 xml:space="preserve">    （法定代表人姓名）在</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（供应商名称）任</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eastAsia" w:asciiTheme="minorEastAsia" w:hAnsiTheme="minorEastAsia" w:eastAsiaTheme="minorEastAsia" w:cstheme="minorEastAsia"/>
          <w:color w:val="auto"/>
          <w:sz w:val="24"/>
          <w:szCs w:val="28"/>
          <w:highlight w:val="none"/>
          <w:u w:val="single"/>
          <w:shd w:val="clear" w:color="auto" w:fill="auto"/>
          <w:lang w:val="en-US" w:eastAsia="zh-CN"/>
        </w:rPr>
        <w:t xml:space="preserve">    </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（职务名称）职务，是（供应商名称）</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的法定代表人。</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特此证明。</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 xml:space="preserve">                   </w:t>
      </w:r>
      <w:r>
        <w:rPr>
          <w:rFonts w:hint="eastAsia" w:asciiTheme="minorEastAsia" w:hAnsiTheme="minorEastAsia" w:eastAsiaTheme="minorEastAsia" w:cstheme="minorEastAsia"/>
          <w:color w:val="auto"/>
          <w:sz w:val="24"/>
          <w:szCs w:val="28"/>
          <w:highlight w:val="none"/>
          <w:shd w:val="clear" w:color="auto" w:fill="auto"/>
          <w:lang w:val="en-US"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 xml:space="preserve"> 供应商：（供应商公章）</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 xml:space="preserve">    </w:t>
      </w:r>
      <w:r>
        <w:rPr>
          <w:rFonts w:hint="eastAsia" w:asciiTheme="minorEastAsia" w:hAnsiTheme="minorEastAsia" w:eastAsiaTheme="minorEastAsia" w:cstheme="minorEastAsia"/>
          <w:color w:val="auto"/>
          <w:sz w:val="24"/>
          <w:szCs w:val="28"/>
          <w:highlight w:val="none"/>
          <w:shd w:val="clear" w:color="auto" w:fill="auto"/>
          <w:lang w:val="en-US"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 xml:space="preserve"> 年  月  日</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法定代表人电话：XXXXXXX   电子邮箱：XXXXXX@XXXXX（若授权他人办理并签署响应文件的可不填写）</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（附：法定代表人身份证正反面复印件）</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imes New Roman" w:hAnsi="Times New Roman" w:eastAsia="仿宋" w:cs="Times New Roman"/>
          <w:color w:val="auto"/>
          <w:sz w:val="24"/>
          <w:szCs w:val="24"/>
          <w:highlight w:val="none"/>
          <w:shd w:val="clear" w:color="auto" w:fill="auto"/>
        </w:rPr>
        <w:sectPr>
          <w:pgSz w:w="11907" w:h="16840"/>
          <w:pgMar w:top="1984" w:right="1446" w:bottom="1644" w:left="1446" w:header="850" w:footer="992" w:gutter="0"/>
          <w:pgNumType w:fmt="decimal"/>
          <w:cols w:space="720" w:num="1"/>
          <w:rtlGutter w:val="0"/>
          <w:docGrid w:linePitch="380" w:charSpace="0"/>
        </w:sectPr>
      </w:pPr>
    </w:p>
    <w:p>
      <w:pPr>
        <w:tabs>
          <w:tab w:val="left" w:pos="6300"/>
        </w:tabs>
        <w:snapToGrid w:val="0"/>
        <w:spacing w:line="400" w:lineRule="exact"/>
        <w:jc w:val="center"/>
        <w:rPr>
          <w:rFonts w:hint="default" w:ascii="方正黑体_GBK" w:hAnsi="方正黑体_GBK" w:eastAsia="方正黑体_GBK" w:cs="方正黑体_GBK"/>
          <w:color w:val="auto"/>
          <w:sz w:val="24"/>
          <w:szCs w:val="28"/>
          <w:highlight w:val="none"/>
          <w:shd w:val="clear" w:color="auto" w:fill="auto"/>
        </w:rPr>
      </w:pPr>
      <w:r>
        <w:rPr>
          <w:rFonts w:hint="default" w:ascii="方正黑体_GBK" w:hAnsi="方正黑体_GBK" w:eastAsia="方正黑体_GBK" w:cs="方正黑体_GBK"/>
          <w:color w:val="auto"/>
          <w:sz w:val="24"/>
          <w:szCs w:val="28"/>
          <w:highlight w:val="none"/>
          <w:shd w:val="clear" w:color="auto" w:fill="auto"/>
        </w:rPr>
        <w:t>（三）法定代表人授权委托书（格式）</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项目名称：</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 xml:space="preserve">  </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致：</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（代理机构名称）：</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eastAsia" w:asciiTheme="minorEastAsia" w:hAnsiTheme="minorEastAsia" w:eastAsiaTheme="minorEastAsia" w:cstheme="minorEastAsia"/>
          <w:color w:val="auto"/>
          <w:sz w:val="24"/>
          <w:szCs w:val="28"/>
          <w:highlight w:val="none"/>
          <w:u w:val="single"/>
          <w:shd w:val="clear" w:color="auto" w:fill="auto"/>
          <w:lang w:val="en-US" w:eastAsia="zh-CN"/>
        </w:rPr>
        <w:t xml:space="preserve"> </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（供应商法定代表人名称）是</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（供应商名称）的法定代表人，特授权</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eastAsia" w:asciiTheme="minorEastAsia" w:hAnsiTheme="minorEastAsia" w:eastAsiaTheme="minorEastAsia" w:cstheme="minorEastAsia"/>
          <w:color w:val="auto"/>
          <w:sz w:val="24"/>
          <w:szCs w:val="28"/>
          <w:highlight w:val="none"/>
          <w:u w:val="single"/>
          <w:shd w:val="clear" w:color="auto" w:fill="auto"/>
          <w:lang w:val="en-US" w:eastAsia="zh-CN"/>
        </w:rPr>
        <w:t xml:space="preserve">  </w:t>
      </w:r>
      <w:r>
        <w:rPr>
          <w:rFonts w:hint="default" w:asciiTheme="minorEastAsia" w:hAnsiTheme="minorEastAsia" w:eastAsiaTheme="minorEastAsia" w:cstheme="minorEastAsia"/>
          <w:color w:val="auto"/>
          <w:sz w:val="24"/>
          <w:szCs w:val="28"/>
          <w:highlight w:val="none"/>
          <w:u w:val="single"/>
          <w:shd w:val="clear" w:color="auto" w:fill="auto"/>
          <w:lang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（被授权人姓名及身份证代码）代表我单位全权办理上述项目的比选、签约等具体工作，并签署全部有关文件、协议及合同。</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我单位对被授权人的签署负全部责任。</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在撤消授权的书面通知以前，本授权书一直有效。被授权人在授权书有效期内签署的所有文件不因授权的撤消而失效。</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 xml:space="preserve">被授权人（签署或盖章） ：                 </w:t>
      </w:r>
      <w:r>
        <w:rPr>
          <w:rFonts w:hint="eastAsia" w:asciiTheme="minorEastAsia" w:hAnsiTheme="minorEastAsia" w:eastAsiaTheme="minorEastAsia" w:cstheme="minorEastAsia"/>
          <w:color w:val="auto"/>
          <w:sz w:val="24"/>
          <w:szCs w:val="28"/>
          <w:highlight w:val="none"/>
          <w:shd w:val="clear" w:color="auto" w:fill="auto"/>
          <w:lang w:val="en-US" w:eastAsia="zh-CN"/>
        </w:rPr>
        <w:t xml:space="preserve"> </w:t>
      </w:r>
      <w:r>
        <w:rPr>
          <w:rFonts w:hint="default" w:asciiTheme="minorEastAsia" w:hAnsiTheme="minorEastAsia" w:eastAsiaTheme="minorEastAsia" w:cstheme="minorEastAsia"/>
          <w:color w:val="auto"/>
          <w:sz w:val="24"/>
          <w:szCs w:val="28"/>
          <w:highlight w:val="none"/>
          <w:shd w:val="clear" w:color="auto" w:fill="auto"/>
          <w:lang w:eastAsia="zh-CN"/>
        </w:rPr>
        <w:t>供应商法定代表人（签署或盖章）：</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 xml:space="preserve">               </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（附：被授权人身份证正反面复印件）</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 xml:space="preserve">                     </w:t>
      </w:r>
    </w:p>
    <w:p>
      <w:pPr>
        <w:tabs>
          <w:tab w:val="left" w:pos="6300"/>
        </w:tabs>
        <w:snapToGrid w:val="0"/>
        <w:spacing w:line="400" w:lineRule="exact"/>
        <w:ind w:firstLine="5760" w:firstLineChars="2400"/>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（供应商公章）</w:t>
      </w:r>
    </w:p>
    <w:p>
      <w:pPr>
        <w:tabs>
          <w:tab w:val="left" w:pos="6300"/>
        </w:tabs>
        <w:snapToGrid w:val="0"/>
        <w:spacing w:line="400" w:lineRule="exact"/>
        <w:ind w:firstLine="6240" w:firstLineChars="2600"/>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年  月  日</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被授权人电话：XXXXXXX   电子邮箱：XXXXXX@XXXXX（若法定代表人办理并签署响应文件的可不填写）</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eastAsia="zh-CN"/>
        </w:rPr>
      </w:pPr>
      <w:r>
        <w:rPr>
          <w:rFonts w:hint="default" w:asciiTheme="minorEastAsia" w:hAnsiTheme="minorEastAsia" w:eastAsiaTheme="minorEastAsia" w:cstheme="minorEastAsia"/>
          <w:color w:val="auto"/>
          <w:sz w:val="24"/>
          <w:szCs w:val="28"/>
          <w:highlight w:val="none"/>
          <w:shd w:val="clear" w:color="auto" w:fill="auto"/>
          <w:lang w:eastAsia="zh-CN"/>
        </w:rPr>
        <w:t>注：若为法定代表人办理并签署响应文件的，不提供此文件。</w:t>
      </w:r>
    </w:p>
    <w:p>
      <w:pPr>
        <w:tabs>
          <w:tab w:val="left" w:pos="6300"/>
        </w:tabs>
        <w:snapToGrid w:val="0"/>
        <w:spacing w:line="400" w:lineRule="exact"/>
        <w:jc w:val="left"/>
        <w:rPr>
          <w:rFonts w:hint="default" w:ascii="Times New Roman" w:hAnsi="Times New Roman" w:eastAsia="仿宋" w:cs="Times New Roman"/>
          <w:color w:val="auto"/>
          <w:sz w:val="24"/>
          <w:szCs w:val="24"/>
          <w:highlight w:val="none"/>
          <w:shd w:val="clear" w:color="auto" w:fill="auto"/>
        </w:rPr>
      </w:pPr>
    </w:p>
    <w:p>
      <w:pPr>
        <w:numPr>
          <w:ilvl w:val="0"/>
          <w:numId w:val="0"/>
        </w:numPr>
        <w:tabs>
          <w:tab w:val="left" w:pos="6300"/>
        </w:tabs>
        <w:snapToGrid w:val="0"/>
        <w:spacing w:line="400" w:lineRule="exact"/>
        <w:jc w:val="center"/>
        <w:rPr>
          <w:rFonts w:hint="default" w:ascii="Times New Roman" w:hAnsi="Times New Roman" w:eastAsia="仿宋" w:cs="Times New Roman"/>
          <w:color w:val="auto"/>
          <w:sz w:val="24"/>
          <w:highlight w:val="none"/>
          <w:shd w:val="clear" w:color="auto" w:fill="auto"/>
          <w:lang w:eastAsia="zh-CN"/>
        </w:rPr>
      </w:pPr>
      <w:r>
        <w:rPr>
          <w:rFonts w:hint="default" w:ascii="Times New Roman" w:hAnsi="Times New Roman" w:eastAsia="仿宋" w:cs="Times New Roman"/>
          <w:color w:val="auto"/>
          <w:sz w:val="24"/>
          <w:highlight w:val="none"/>
          <w:shd w:val="clear" w:color="auto" w:fill="auto"/>
        </w:rPr>
        <w:br w:type="page"/>
      </w:r>
      <w:r>
        <w:rPr>
          <w:rFonts w:hint="default" w:ascii="方正黑体_GBK" w:hAnsi="方正黑体_GBK" w:eastAsia="方正黑体_GBK" w:cs="方正黑体_GBK"/>
          <w:color w:val="auto"/>
          <w:sz w:val="24"/>
          <w:szCs w:val="28"/>
          <w:highlight w:val="none"/>
          <w:shd w:val="clear" w:color="auto" w:fill="auto"/>
        </w:rPr>
        <w:t>（</w:t>
      </w:r>
      <w:r>
        <w:rPr>
          <w:rFonts w:hint="default" w:ascii="方正黑体_GBK" w:hAnsi="方正黑体_GBK" w:eastAsia="方正黑体_GBK" w:cs="方正黑体_GBK"/>
          <w:color w:val="auto"/>
          <w:sz w:val="24"/>
          <w:szCs w:val="28"/>
          <w:highlight w:val="none"/>
          <w:shd w:val="clear" w:color="auto" w:fill="auto"/>
          <w:lang w:val="en-US" w:eastAsia="zh-CN"/>
        </w:rPr>
        <w:t>四</w:t>
      </w:r>
      <w:r>
        <w:rPr>
          <w:rFonts w:hint="default" w:ascii="方正黑体_GBK" w:hAnsi="方正黑体_GBK" w:eastAsia="方正黑体_GBK" w:cs="方正黑体_GBK"/>
          <w:color w:val="auto"/>
          <w:sz w:val="24"/>
          <w:szCs w:val="28"/>
          <w:highlight w:val="none"/>
          <w:shd w:val="clear" w:color="auto" w:fill="auto"/>
        </w:rPr>
        <w:t>）</w:t>
      </w:r>
      <w:r>
        <w:rPr>
          <w:rFonts w:hint="default" w:ascii="方正黑体_GBK" w:hAnsi="方正黑体_GBK" w:eastAsia="方正黑体_GBK" w:cs="方正黑体_GBK"/>
          <w:color w:val="auto"/>
          <w:sz w:val="24"/>
          <w:szCs w:val="28"/>
          <w:highlight w:val="none"/>
          <w:shd w:val="clear" w:color="auto" w:fill="auto"/>
          <w:lang w:val="en-US" w:eastAsia="zh-CN"/>
        </w:rPr>
        <w:t>承诺</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提供标准承诺函格式，明确承诺事项（示例如下）。</w:t>
      </w:r>
    </w:p>
    <w:p>
      <w:pPr>
        <w:tabs>
          <w:tab w:val="left" w:pos="6300"/>
        </w:tabs>
        <w:snapToGrid w:val="0"/>
        <w:spacing w:line="400" w:lineRule="exact"/>
        <w:ind w:firstLine="480" w:firstLineChars="200"/>
        <w:jc w:val="center"/>
        <w:rPr>
          <w:rFonts w:hint="default" w:asciiTheme="minorEastAsia" w:hAnsiTheme="minorEastAsia" w:eastAsiaTheme="minorEastAsia" w:cstheme="minorEastAsia"/>
          <w:b/>
          <w:bCs/>
          <w:color w:val="auto"/>
          <w:sz w:val="24"/>
          <w:szCs w:val="28"/>
          <w:highlight w:val="none"/>
          <w:shd w:val="clear" w:color="auto" w:fill="auto"/>
          <w:lang w:val="en-US" w:eastAsia="zh-CN"/>
        </w:rPr>
      </w:pPr>
      <w:r>
        <w:rPr>
          <w:rFonts w:hint="default" w:asciiTheme="minorEastAsia" w:hAnsiTheme="minorEastAsia" w:eastAsiaTheme="minorEastAsia" w:cstheme="minorEastAsia"/>
          <w:b/>
          <w:bCs/>
          <w:color w:val="auto"/>
          <w:sz w:val="24"/>
          <w:szCs w:val="28"/>
          <w:highlight w:val="none"/>
          <w:shd w:val="clear" w:color="auto" w:fill="auto"/>
          <w:lang w:val="en-US" w:eastAsia="zh-CN"/>
        </w:rPr>
        <w:t>承诺函（格式）</w:t>
      </w:r>
    </w:p>
    <w:p>
      <w:pPr>
        <w:tabs>
          <w:tab w:val="left" w:pos="6300"/>
        </w:tabs>
        <w:snapToGrid w:val="0"/>
        <w:spacing w:line="400" w:lineRule="exact"/>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致：重庆储备粮管理集团有限公司梁平分公司、重庆春林建设工程咨询有限公司</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我方</w:t>
      </w:r>
      <w:r>
        <w:rPr>
          <w:rFonts w:hint="default" w:asciiTheme="minorEastAsia" w:hAnsiTheme="minorEastAsia" w:eastAsiaTheme="minorEastAsia" w:cstheme="minorEastAsia"/>
          <w:color w:val="auto"/>
          <w:sz w:val="24"/>
          <w:szCs w:val="28"/>
          <w:highlight w:val="none"/>
          <w:u w:val="single"/>
          <w:shd w:val="clear" w:color="auto" w:fill="auto"/>
          <w:lang w:val="en-US" w:eastAsia="zh-CN"/>
        </w:rPr>
        <w:t>（供应商名称）</w:t>
      </w:r>
      <w:r>
        <w:rPr>
          <w:rFonts w:hint="default" w:asciiTheme="minorEastAsia" w:hAnsiTheme="minorEastAsia" w:eastAsiaTheme="minorEastAsia" w:cstheme="minorEastAsia"/>
          <w:color w:val="auto"/>
          <w:sz w:val="24"/>
          <w:szCs w:val="28"/>
          <w:highlight w:val="none"/>
          <w:shd w:val="clear" w:color="auto" w:fill="auto"/>
          <w:lang w:val="en-US" w:eastAsia="zh-CN"/>
        </w:rPr>
        <w:t>参与贵方组织的</w:t>
      </w:r>
      <w:r>
        <w:rPr>
          <w:rFonts w:hint="eastAsia" w:asciiTheme="minorEastAsia" w:hAnsiTheme="minorEastAsia" w:eastAsiaTheme="minorEastAsia" w:cstheme="minorEastAsia"/>
          <w:color w:val="auto"/>
          <w:sz w:val="24"/>
          <w:szCs w:val="28"/>
          <w:highlight w:val="none"/>
          <w:shd w:val="clear" w:color="auto" w:fill="auto"/>
          <w:lang w:val="en-US" w:eastAsia="zh-CN"/>
        </w:rPr>
        <w:t>重庆储备粮集团</w:t>
      </w:r>
      <w:r>
        <w:rPr>
          <w:rFonts w:hint="default" w:asciiTheme="minorEastAsia" w:hAnsiTheme="minorEastAsia" w:eastAsiaTheme="minorEastAsia" w:cstheme="minorEastAsia"/>
          <w:color w:val="auto"/>
          <w:sz w:val="24"/>
          <w:szCs w:val="28"/>
          <w:highlight w:val="none"/>
          <w:shd w:val="clear" w:color="auto" w:fill="auto"/>
          <w:lang w:val="en-US" w:eastAsia="zh-CN"/>
        </w:rPr>
        <w:t>梁平分公司会议系统设备采购项目比选活动，现作出如下承诺：</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我方具有独立法人资格，具备有效的营业执照，符合本项目供应商资格条件；</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我方具有良好的商业信誉和健全的财务会计制度，近三年内在经营活动中无重大违法记录；</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我方具有履行合同所必需的设备和专业技术能力，能按比选文件要求完成项目供货、安装及调试；</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我方所投产品的技术参数均真实有效，符合比选文件要求，所提供的检测报告、资质证书等材料均真实、合法、有效，无伪造、变造情形；</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若我方成为中选供应商，将在签订合同后</w:t>
      </w:r>
      <w:r>
        <w:rPr>
          <w:rFonts w:hint="eastAsia" w:asciiTheme="minorEastAsia" w:hAnsiTheme="minorEastAsia" w:eastAsiaTheme="minorEastAsia" w:cstheme="minorEastAsia"/>
          <w:color w:val="auto"/>
          <w:sz w:val="24"/>
          <w:szCs w:val="28"/>
          <w:highlight w:val="none"/>
          <w:shd w:val="clear" w:color="auto" w:fill="auto"/>
          <w:lang w:val="en-US" w:eastAsia="zh-CN"/>
        </w:rPr>
        <w:t>15</w:t>
      </w:r>
      <w:r>
        <w:rPr>
          <w:rFonts w:hint="default" w:asciiTheme="minorEastAsia" w:hAnsiTheme="minorEastAsia" w:eastAsiaTheme="minorEastAsia" w:cstheme="minorEastAsia"/>
          <w:color w:val="auto"/>
          <w:sz w:val="24"/>
          <w:szCs w:val="28"/>
          <w:highlight w:val="none"/>
          <w:shd w:val="clear" w:color="auto" w:fill="auto"/>
          <w:lang w:val="en-US" w:eastAsia="zh-CN"/>
        </w:rPr>
        <w:t>个工作日内提供所投产品要求的相关资料原件，否则愿意承担取消中选资格、赔偿贵方损失等法律责任。</w:t>
      </w:r>
    </w:p>
    <w:p>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8"/>
          <w:highlight w:val="none"/>
          <w:shd w:val="clear" w:color="auto" w:fill="auto"/>
          <w:lang w:val="en-US" w:eastAsia="zh-CN"/>
        </w:rPr>
      </w:pPr>
      <w:r>
        <w:rPr>
          <w:rFonts w:hint="default" w:asciiTheme="minorEastAsia" w:hAnsiTheme="minorEastAsia" w:eastAsiaTheme="minorEastAsia" w:cstheme="minorEastAsia"/>
          <w:color w:val="auto"/>
          <w:sz w:val="24"/>
          <w:szCs w:val="28"/>
          <w:highlight w:val="none"/>
          <w:shd w:val="clear" w:color="auto" w:fill="auto"/>
          <w:lang w:val="en-US" w:eastAsia="zh-CN"/>
        </w:rPr>
        <w:t>特此承诺！</w:t>
      </w:r>
    </w:p>
    <w:p>
      <w:pPr>
        <w:pStyle w:val="13"/>
        <w:ind w:firstLine="3840" w:firstLineChars="1600"/>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pPr>
      <w:r>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t>法定代表人或其授权代表（签字）：</w:t>
      </w:r>
    </w:p>
    <w:p>
      <w:pPr>
        <w:pStyle w:val="13"/>
        <w:ind w:firstLine="3840" w:firstLineChars="1600"/>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pPr>
      <w:r>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t>供应商（公章）：________________</w:t>
      </w:r>
    </w:p>
    <w:p>
      <w:pPr>
        <w:pStyle w:val="13"/>
        <w:ind w:firstLine="4080" w:firstLineChars="1700"/>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pPr>
      <w:r>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t>日期：______年____月____日</w:t>
      </w:r>
    </w:p>
    <w:p>
      <w:pPr>
        <w:rPr>
          <w:rFonts w:hint="default"/>
        </w:rPr>
      </w:pPr>
    </w:p>
    <w:p>
      <w:pPr>
        <w:pStyle w:val="4"/>
        <w:numPr>
          <w:ilvl w:val="1"/>
          <w:numId w:val="0"/>
        </w:numPr>
        <w:spacing w:line="500" w:lineRule="exact"/>
        <w:rPr>
          <w:rFonts w:hint="default" w:ascii="Times New Roman" w:hAnsi="Times New Roman" w:eastAsia="仿宋" w:cs="Times New Roman"/>
          <w:b/>
          <w:color w:val="auto"/>
          <w:szCs w:val="28"/>
          <w:highlight w:val="none"/>
          <w:shd w:val="clear" w:color="auto" w:fill="auto"/>
        </w:rPr>
      </w:pPr>
    </w:p>
    <w:p>
      <w:pPr>
        <w:pStyle w:val="4"/>
        <w:numPr>
          <w:ilvl w:val="1"/>
          <w:numId w:val="0"/>
        </w:numPr>
        <w:spacing w:line="500" w:lineRule="exact"/>
        <w:rPr>
          <w:rFonts w:hint="default" w:ascii="Times New Roman" w:hAnsi="Times New Roman" w:eastAsia="仿宋" w:cs="Times New Roman"/>
          <w:b/>
          <w:color w:val="auto"/>
          <w:szCs w:val="28"/>
          <w:highlight w:val="none"/>
          <w:shd w:val="clear" w:color="auto" w:fill="auto"/>
        </w:rPr>
      </w:pPr>
    </w:p>
    <w:p>
      <w:pPr>
        <w:pStyle w:val="4"/>
        <w:numPr>
          <w:ilvl w:val="1"/>
          <w:numId w:val="0"/>
        </w:numPr>
        <w:spacing w:line="500" w:lineRule="exact"/>
        <w:rPr>
          <w:rFonts w:hint="default" w:ascii="Times New Roman" w:hAnsi="Times New Roman" w:eastAsia="仿宋" w:cs="Times New Roman"/>
          <w:b/>
          <w:color w:val="auto"/>
          <w:szCs w:val="28"/>
          <w:highlight w:val="none"/>
          <w:shd w:val="clear" w:color="auto" w:fill="auto"/>
        </w:rPr>
      </w:pPr>
    </w:p>
    <w:p>
      <w:pPr>
        <w:pStyle w:val="4"/>
        <w:numPr>
          <w:ilvl w:val="1"/>
          <w:numId w:val="0"/>
        </w:numPr>
        <w:spacing w:line="500" w:lineRule="exact"/>
        <w:rPr>
          <w:rFonts w:hint="default" w:ascii="Times New Roman" w:hAnsi="Times New Roman" w:eastAsia="仿宋" w:cs="Times New Roman"/>
          <w:b/>
          <w:color w:val="auto"/>
          <w:szCs w:val="28"/>
          <w:highlight w:val="none"/>
          <w:shd w:val="clear" w:color="auto" w:fill="auto"/>
        </w:rPr>
      </w:pPr>
    </w:p>
    <w:p>
      <w:pPr>
        <w:pStyle w:val="4"/>
        <w:numPr>
          <w:ilvl w:val="1"/>
          <w:numId w:val="0"/>
        </w:numPr>
        <w:spacing w:line="500" w:lineRule="exact"/>
        <w:rPr>
          <w:rFonts w:hint="default" w:ascii="Times New Roman" w:hAnsi="Times New Roman" w:eastAsia="仿宋" w:cs="Times New Roman"/>
          <w:b/>
          <w:color w:val="auto"/>
          <w:szCs w:val="28"/>
          <w:highlight w:val="none"/>
          <w:shd w:val="clear" w:color="auto" w:fill="auto"/>
        </w:rPr>
      </w:pPr>
    </w:p>
    <w:p>
      <w:pPr>
        <w:pStyle w:val="4"/>
        <w:numPr>
          <w:ilvl w:val="1"/>
          <w:numId w:val="0"/>
        </w:numPr>
        <w:spacing w:line="500" w:lineRule="exact"/>
        <w:rPr>
          <w:rFonts w:hint="default" w:ascii="Times New Roman" w:hAnsi="Times New Roman" w:eastAsia="仿宋" w:cs="Times New Roman"/>
          <w:b/>
          <w:color w:val="auto"/>
          <w:szCs w:val="28"/>
          <w:highlight w:val="none"/>
          <w:shd w:val="clear" w:color="auto" w:fill="auto"/>
        </w:rPr>
      </w:pPr>
    </w:p>
    <w:p>
      <w:pPr>
        <w:rPr>
          <w:rFonts w:hint="default" w:ascii="Times New Roman" w:hAnsi="Times New Roman" w:eastAsia="仿宋" w:cs="Times New Roman"/>
          <w:b/>
          <w:color w:val="auto"/>
          <w:szCs w:val="28"/>
          <w:highlight w:val="none"/>
          <w:shd w:val="clear" w:color="auto" w:fill="auto"/>
        </w:rPr>
      </w:pPr>
    </w:p>
    <w:p>
      <w:pPr>
        <w:keepNext/>
        <w:keepLines/>
        <w:widowControl w:val="0"/>
        <w:adjustRightInd w:val="0"/>
        <w:snapToGrid w:val="0"/>
        <w:spacing w:line="500" w:lineRule="exact"/>
        <w:jc w:val="center"/>
        <w:outlineLvl w:val="1"/>
        <w:rPr>
          <w:rFonts w:hint="default" w:ascii="方正小标宋_GBK" w:hAnsi="方正小标宋_GBK" w:eastAsia="方正小标宋_GBK" w:cs="方正小标宋_GBK"/>
          <w:b w:val="0"/>
          <w:bCs/>
          <w:color w:val="auto"/>
          <w:kern w:val="2"/>
          <w:sz w:val="32"/>
          <w:szCs w:val="32"/>
          <w:highlight w:val="none"/>
          <w:shd w:val="clear" w:color="auto" w:fill="auto"/>
          <w:lang w:val="en-US" w:eastAsia="zh-CN" w:bidi="ar-SA"/>
        </w:rPr>
      </w:pPr>
      <w:bookmarkStart w:id="106" w:name="_Toc23294"/>
      <w:r>
        <w:rPr>
          <w:rFonts w:hint="default" w:ascii="方正小标宋_GBK" w:hAnsi="方正小标宋_GBK" w:eastAsia="方正小标宋_GBK" w:cs="方正小标宋_GBK"/>
          <w:b w:val="0"/>
          <w:bCs/>
          <w:color w:val="auto"/>
          <w:kern w:val="2"/>
          <w:sz w:val="32"/>
          <w:szCs w:val="32"/>
          <w:highlight w:val="none"/>
          <w:shd w:val="clear" w:color="auto" w:fill="auto"/>
          <w:lang w:val="en-US" w:eastAsia="zh-CN" w:bidi="ar-SA"/>
        </w:rPr>
        <w:t>三、其他资料</w:t>
      </w:r>
      <w:bookmarkEnd w:id="106"/>
    </w:p>
    <w:p>
      <w:pPr>
        <w:numPr>
          <w:ilvl w:val="0"/>
          <w:numId w:val="0"/>
        </w:numPr>
        <w:tabs>
          <w:tab w:val="left" w:pos="6300"/>
        </w:tabs>
        <w:snapToGrid w:val="0"/>
        <w:spacing w:line="400" w:lineRule="exact"/>
        <w:jc w:val="center"/>
        <w:rPr>
          <w:rFonts w:hint="default" w:ascii="方正黑体_GBK" w:hAnsi="方正黑体_GBK" w:eastAsia="方正黑体_GBK" w:cs="方正黑体_GBK"/>
          <w:color w:val="auto"/>
          <w:sz w:val="24"/>
          <w:szCs w:val="28"/>
          <w:highlight w:val="none"/>
          <w:shd w:val="clear" w:color="auto" w:fill="auto"/>
        </w:rPr>
      </w:pPr>
      <w:r>
        <w:rPr>
          <w:rFonts w:hint="default" w:ascii="方正黑体_GBK" w:hAnsi="方正黑体_GBK" w:eastAsia="方正黑体_GBK" w:cs="方正黑体_GBK"/>
          <w:color w:val="auto"/>
          <w:sz w:val="24"/>
          <w:szCs w:val="28"/>
          <w:highlight w:val="none"/>
          <w:shd w:val="clear" w:color="auto" w:fill="auto"/>
        </w:rPr>
        <w:t>（一）技术（</w:t>
      </w:r>
      <w:r>
        <w:rPr>
          <w:rFonts w:hint="default" w:ascii="方正黑体_GBK" w:hAnsi="方正黑体_GBK" w:eastAsia="方正黑体_GBK" w:cs="方正黑体_GBK"/>
          <w:color w:val="auto"/>
          <w:sz w:val="24"/>
          <w:szCs w:val="28"/>
          <w:highlight w:val="none"/>
          <w:shd w:val="clear" w:color="auto" w:fill="auto"/>
          <w:lang w:val="en-US" w:eastAsia="zh-CN"/>
        </w:rPr>
        <w:t>服务</w:t>
      </w:r>
      <w:r>
        <w:rPr>
          <w:rFonts w:hint="default" w:ascii="方正黑体_GBK" w:hAnsi="方正黑体_GBK" w:eastAsia="方正黑体_GBK" w:cs="方正黑体_GBK"/>
          <w:color w:val="auto"/>
          <w:sz w:val="24"/>
          <w:szCs w:val="28"/>
          <w:highlight w:val="none"/>
          <w:shd w:val="clear" w:color="auto" w:fill="auto"/>
        </w:rPr>
        <w:t>）响应偏离表</w:t>
      </w:r>
    </w:p>
    <w:p>
      <w:pPr>
        <w:spacing w:line="400" w:lineRule="exact"/>
        <w:outlineLvl w:val="9"/>
        <w:rPr>
          <w:rFonts w:hint="eastAsia" w:asciiTheme="minorEastAsia" w:hAnsiTheme="minorEastAsia" w:eastAsiaTheme="minorEastAsia" w:cstheme="minorEastAsia"/>
          <w:color w:val="auto"/>
          <w:spacing w:val="-18"/>
          <w:sz w:val="24"/>
          <w:szCs w:val="24"/>
          <w:highlight w:val="none"/>
          <w:shd w:val="clear" w:color="auto" w:fill="auto"/>
        </w:rPr>
      </w:pPr>
      <w:r>
        <w:rPr>
          <w:rFonts w:hint="eastAsia" w:asciiTheme="minorEastAsia" w:hAnsiTheme="minorEastAsia" w:eastAsiaTheme="minorEastAsia" w:cstheme="minorEastAsia"/>
          <w:color w:val="auto"/>
          <w:spacing w:val="-18"/>
          <w:sz w:val="24"/>
          <w:szCs w:val="24"/>
          <w:highlight w:val="none"/>
          <w:shd w:val="clear" w:color="auto" w:fill="auto"/>
        </w:rPr>
        <w:t>项目名称：</w:t>
      </w:r>
    </w:p>
    <w:tbl>
      <w:tblPr>
        <w:tblStyle w:val="10"/>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2844"/>
        <w:gridCol w:w="2952"/>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97" w:type="dxa"/>
            <w:noWrap w:val="0"/>
            <w:vAlign w:val="center"/>
          </w:tcPr>
          <w:p>
            <w:pPr>
              <w:tabs>
                <w:tab w:val="left" w:pos="6300"/>
              </w:tabs>
              <w:snapToGrid w:val="0"/>
              <w:spacing w:line="400" w:lineRule="exact"/>
              <w:jc w:val="center"/>
              <w:outlineLvl w:val="9"/>
              <w:rPr>
                <w:rFonts w:hint="eastAsia" w:asciiTheme="minorEastAsia" w:hAnsiTheme="minorEastAsia" w:eastAsiaTheme="minorEastAsia" w:cstheme="minorEastAsia"/>
                <w:b/>
                <w:color w:val="auto"/>
                <w:sz w:val="24"/>
                <w:szCs w:val="24"/>
                <w:highlight w:val="none"/>
                <w:shd w:val="clear" w:color="auto" w:fill="auto"/>
              </w:rPr>
            </w:pPr>
            <w:bookmarkStart w:id="107" w:name="_Toc8141"/>
            <w:bookmarkStart w:id="108" w:name="_Toc3278"/>
            <w:r>
              <w:rPr>
                <w:rFonts w:hint="eastAsia" w:asciiTheme="minorEastAsia" w:hAnsiTheme="minorEastAsia" w:eastAsiaTheme="minorEastAsia" w:cstheme="minorEastAsia"/>
                <w:b/>
                <w:color w:val="auto"/>
                <w:sz w:val="24"/>
                <w:szCs w:val="24"/>
                <w:highlight w:val="none"/>
                <w:shd w:val="clear" w:color="auto" w:fill="auto"/>
              </w:rPr>
              <w:t>序号</w:t>
            </w:r>
            <w:bookmarkEnd w:id="107"/>
            <w:bookmarkEnd w:id="108"/>
          </w:p>
        </w:tc>
        <w:tc>
          <w:tcPr>
            <w:tcW w:w="2844" w:type="dxa"/>
            <w:noWrap w:val="0"/>
            <w:vAlign w:val="center"/>
          </w:tcPr>
          <w:p>
            <w:pPr>
              <w:tabs>
                <w:tab w:val="left" w:pos="6300"/>
              </w:tabs>
              <w:snapToGrid w:val="0"/>
              <w:spacing w:line="400" w:lineRule="exact"/>
              <w:jc w:val="center"/>
              <w:outlineLvl w:val="9"/>
              <w:rPr>
                <w:rFonts w:hint="eastAsia" w:asciiTheme="minorEastAsia" w:hAnsiTheme="minorEastAsia" w:eastAsiaTheme="minorEastAsia" w:cstheme="minorEastAsia"/>
                <w:b/>
                <w:color w:val="auto"/>
                <w:sz w:val="24"/>
                <w:szCs w:val="24"/>
                <w:highlight w:val="none"/>
                <w:shd w:val="clear" w:color="auto" w:fill="auto"/>
              </w:rPr>
            </w:pPr>
            <w:bookmarkStart w:id="109" w:name="_Toc10294"/>
            <w:bookmarkStart w:id="110" w:name="_Toc1675"/>
            <w:r>
              <w:rPr>
                <w:rFonts w:hint="eastAsia" w:asciiTheme="minorEastAsia" w:hAnsiTheme="minorEastAsia" w:eastAsiaTheme="minorEastAsia" w:cstheme="minorEastAsia"/>
                <w:b/>
                <w:color w:val="auto"/>
                <w:sz w:val="24"/>
                <w:szCs w:val="24"/>
                <w:highlight w:val="none"/>
                <w:shd w:val="clear" w:color="auto" w:fill="auto"/>
                <w:lang w:val="en-US" w:eastAsia="zh-CN"/>
              </w:rPr>
              <w:t>项目</w:t>
            </w:r>
            <w:r>
              <w:rPr>
                <w:rFonts w:hint="eastAsia" w:asciiTheme="minorEastAsia" w:hAnsiTheme="minorEastAsia" w:eastAsiaTheme="minorEastAsia" w:cstheme="minorEastAsia"/>
                <w:b/>
                <w:color w:val="auto"/>
                <w:sz w:val="24"/>
                <w:szCs w:val="24"/>
                <w:highlight w:val="none"/>
                <w:shd w:val="clear" w:color="auto" w:fill="auto"/>
              </w:rPr>
              <w:t>需求</w:t>
            </w:r>
            <w:bookmarkEnd w:id="109"/>
            <w:bookmarkEnd w:id="110"/>
          </w:p>
        </w:tc>
        <w:tc>
          <w:tcPr>
            <w:tcW w:w="2952" w:type="dxa"/>
            <w:noWrap w:val="0"/>
            <w:vAlign w:val="center"/>
          </w:tcPr>
          <w:p>
            <w:pPr>
              <w:tabs>
                <w:tab w:val="left" w:pos="6300"/>
              </w:tabs>
              <w:snapToGrid w:val="0"/>
              <w:spacing w:line="400" w:lineRule="exact"/>
              <w:jc w:val="center"/>
              <w:outlineLvl w:val="9"/>
              <w:rPr>
                <w:rFonts w:hint="eastAsia" w:asciiTheme="minorEastAsia" w:hAnsiTheme="minorEastAsia" w:eastAsiaTheme="minorEastAsia" w:cstheme="minorEastAsia"/>
                <w:b/>
                <w:color w:val="auto"/>
                <w:sz w:val="24"/>
                <w:szCs w:val="24"/>
                <w:highlight w:val="none"/>
                <w:shd w:val="clear" w:color="auto" w:fill="auto"/>
              </w:rPr>
            </w:pPr>
            <w:bookmarkStart w:id="111" w:name="_Toc30525"/>
            <w:bookmarkStart w:id="112" w:name="_Toc16527"/>
            <w:r>
              <w:rPr>
                <w:rFonts w:hint="eastAsia" w:asciiTheme="minorEastAsia" w:hAnsiTheme="minorEastAsia" w:eastAsiaTheme="minorEastAsia" w:cstheme="minorEastAsia"/>
                <w:b/>
                <w:color w:val="auto"/>
                <w:sz w:val="24"/>
                <w:szCs w:val="24"/>
                <w:highlight w:val="none"/>
                <w:shd w:val="clear" w:color="auto" w:fill="auto"/>
              </w:rPr>
              <w:t>响应情况</w:t>
            </w:r>
            <w:bookmarkEnd w:id="111"/>
            <w:bookmarkEnd w:id="112"/>
          </w:p>
        </w:tc>
        <w:tc>
          <w:tcPr>
            <w:tcW w:w="1944" w:type="dxa"/>
            <w:noWrap w:val="0"/>
            <w:vAlign w:val="center"/>
          </w:tcPr>
          <w:p>
            <w:pPr>
              <w:tabs>
                <w:tab w:val="left" w:pos="6300"/>
              </w:tabs>
              <w:snapToGrid w:val="0"/>
              <w:spacing w:line="400" w:lineRule="exact"/>
              <w:jc w:val="center"/>
              <w:outlineLvl w:val="9"/>
              <w:rPr>
                <w:rFonts w:hint="eastAsia" w:asciiTheme="minorEastAsia" w:hAnsiTheme="minorEastAsia" w:eastAsiaTheme="minorEastAsia" w:cstheme="minorEastAsia"/>
                <w:b/>
                <w:color w:val="auto"/>
                <w:sz w:val="24"/>
                <w:szCs w:val="24"/>
                <w:highlight w:val="none"/>
                <w:shd w:val="clear" w:color="auto" w:fill="auto"/>
              </w:rPr>
            </w:pPr>
            <w:bookmarkStart w:id="113" w:name="_Toc12436"/>
            <w:bookmarkStart w:id="114" w:name="_Toc5626"/>
            <w:r>
              <w:rPr>
                <w:rFonts w:hint="eastAsia" w:asciiTheme="minorEastAsia" w:hAnsiTheme="minorEastAsia" w:eastAsiaTheme="minorEastAsia" w:cstheme="minorEastAsia"/>
                <w:b/>
                <w:color w:val="auto"/>
                <w:sz w:val="24"/>
                <w:szCs w:val="24"/>
                <w:highlight w:val="none"/>
                <w:shd w:val="clear" w:color="auto" w:fill="auto"/>
              </w:rPr>
              <w:t>差异说明</w:t>
            </w:r>
            <w:bookmarkEnd w:id="113"/>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9"/>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8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2952"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c>
          <w:tcPr>
            <w:tcW w:w="1944" w:type="dxa"/>
            <w:noWrap w:val="0"/>
            <w:vAlign w:val="center"/>
          </w:tcPr>
          <w:p>
            <w:pPr>
              <w:tabs>
                <w:tab w:val="left" w:pos="6300"/>
              </w:tabs>
              <w:snapToGrid w:val="0"/>
              <w:spacing w:line="400" w:lineRule="exact"/>
              <w:jc w:val="center"/>
              <w:outlineLvl w:val="0"/>
              <w:rPr>
                <w:rFonts w:hint="default" w:ascii="Times New Roman" w:hAnsi="Times New Roman" w:eastAsia="仿宋" w:cs="Times New Roman"/>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7" w:type="dxa"/>
            <w:noWrap w:val="0"/>
            <w:vAlign w:val="center"/>
          </w:tcPr>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tc>
        <w:tc>
          <w:tcPr>
            <w:tcW w:w="2844" w:type="dxa"/>
            <w:noWrap w:val="0"/>
            <w:vAlign w:val="center"/>
          </w:tcPr>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tc>
        <w:tc>
          <w:tcPr>
            <w:tcW w:w="2952" w:type="dxa"/>
            <w:noWrap w:val="0"/>
            <w:vAlign w:val="center"/>
          </w:tcPr>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tc>
        <w:tc>
          <w:tcPr>
            <w:tcW w:w="1944" w:type="dxa"/>
            <w:noWrap w:val="0"/>
            <w:vAlign w:val="center"/>
          </w:tcPr>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tc>
      </w:tr>
    </w:tbl>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p>
      <w:pPr>
        <w:pStyle w:val="13"/>
        <w:ind w:firstLine="3840" w:firstLineChars="1600"/>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pPr>
      <w:r>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t>法定代表人或其授权代表（签字）：</w:t>
      </w:r>
    </w:p>
    <w:p>
      <w:pPr>
        <w:pStyle w:val="13"/>
        <w:ind w:firstLine="3840" w:firstLineChars="1600"/>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pPr>
      <w:r>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t>供应商（公章）：________________</w:t>
      </w:r>
    </w:p>
    <w:p>
      <w:pPr>
        <w:pStyle w:val="13"/>
        <w:ind w:firstLine="4080" w:firstLineChars="1700"/>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pPr>
      <w:r>
        <w:rPr>
          <w:rFonts w:hint="default" w:asciiTheme="minorEastAsia" w:hAnsiTheme="minorEastAsia" w:eastAsiaTheme="minorEastAsia" w:cstheme="minorEastAsia"/>
          <w:color w:val="auto"/>
          <w:kern w:val="2"/>
          <w:sz w:val="24"/>
          <w:szCs w:val="28"/>
          <w:highlight w:val="none"/>
          <w:shd w:val="clear" w:color="auto" w:fill="auto"/>
          <w:lang w:val="en-US" w:eastAsia="zh-CN" w:bidi="ar-SA"/>
        </w:rPr>
        <w:t>日期：______年____月____日</w:t>
      </w: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r>
        <w:rPr>
          <w:rFonts w:hint="default" w:asciiTheme="minorEastAsia" w:hAnsiTheme="minorEastAsia" w:eastAsiaTheme="minorEastAsia" w:cstheme="minorEastAsia"/>
          <w:color w:val="auto"/>
          <w:spacing w:val="-18"/>
          <w:sz w:val="24"/>
          <w:szCs w:val="24"/>
          <w:highlight w:val="none"/>
          <w:shd w:val="clear" w:color="auto" w:fill="auto"/>
        </w:rPr>
        <w:t>注：</w:t>
      </w: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r>
        <w:rPr>
          <w:rFonts w:hint="default" w:asciiTheme="minorEastAsia" w:hAnsiTheme="minorEastAsia" w:eastAsiaTheme="minorEastAsia" w:cstheme="minorEastAsia"/>
          <w:color w:val="auto"/>
          <w:spacing w:val="-18"/>
          <w:sz w:val="24"/>
          <w:szCs w:val="24"/>
          <w:highlight w:val="none"/>
          <w:shd w:val="clear" w:color="auto" w:fill="auto"/>
        </w:rPr>
        <w:t>1.本表即为对本项目“第</w:t>
      </w:r>
      <w:r>
        <w:rPr>
          <w:rFonts w:hint="default" w:asciiTheme="minorEastAsia" w:hAnsiTheme="minorEastAsia" w:eastAsiaTheme="minorEastAsia" w:cstheme="minorEastAsia"/>
          <w:color w:val="auto"/>
          <w:spacing w:val="-18"/>
          <w:sz w:val="24"/>
          <w:szCs w:val="24"/>
          <w:highlight w:val="none"/>
          <w:shd w:val="clear" w:color="auto" w:fill="auto"/>
          <w:lang w:val="en-US" w:eastAsia="zh-CN"/>
        </w:rPr>
        <w:t>五</w:t>
      </w:r>
      <w:r>
        <w:rPr>
          <w:rFonts w:hint="default" w:asciiTheme="minorEastAsia" w:hAnsiTheme="minorEastAsia" w:eastAsiaTheme="minorEastAsia" w:cstheme="minorEastAsia"/>
          <w:color w:val="auto"/>
          <w:spacing w:val="-18"/>
          <w:sz w:val="24"/>
          <w:szCs w:val="24"/>
          <w:highlight w:val="none"/>
          <w:shd w:val="clear" w:color="auto" w:fill="auto"/>
        </w:rPr>
        <w:t>篇</w:t>
      </w:r>
      <w:r>
        <w:rPr>
          <w:rFonts w:hint="default" w:asciiTheme="minorEastAsia" w:hAnsiTheme="minorEastAsia" w:eastAsiaTheme="minorEastAsia" w:cstheme="minorEastAsia"/>
          <w:color w:val="auto"/>
          <w:spacing w:val="-18"/>
          <w:sz w:val="24"/>
          <w:szCs w:val="24"/>
          <w:highlight w:val="none"/>
          <w:shd w:val="clear" w:color="auto" w:fill="auto"/>
          <w:lang w:eastAsia="zh-CN"/>
        </w:rPr>
        <w:t xml:space="preserve"> </w:t>
      </w:r>
      <w:r>
        <w:rPr>
          <w:rFonts w:hint="default" w:asciiTheme="minorEastAsia" w:hAnsiTheme="minorEastAsia" w:eastAsiaTheme="minorEastAsia" w:cstheme="minorEastAsia"/>
          <w:color w:val="auto"/>
          <w:spacing w:val="-18"/>
          <w:sz w:val="24"/>
          <w:szCs w:val="24"/>
          <w:highlight w:val="none"/>
          <w:shd w:val="clear" w:color="auto" w:fill="auto"/>
        </w:rPr>
        <w:t>项目技术（</w:t>
      </w:r>
      <w:r>
        <w:rPr>
          <w:rFonts w:hint="default" w:asciiTheme="minorEastAsia" w:hAnsiTheme="minorEastAsia" w:eastAsiaTheme="minorEastAsia" w:cstheme="minorEastAsia"/>
          <w:color w:val="auto"/>
          <w:spacing w:val="-18"/>
          <w:sz w:val="24"/>
          <w:szCs w:val="24"/>
          <w:highlight w:val="none"/>
          <w:shd w:val="clear" w:color="auto" w:fill="auto"/>
          <w:lang w:val="en-US" w:eastAsia="zh-CN"/>
        </w:rPr>
        <w:t>服务</w:t>
      </w:r>
      <w:r>
        <w:rPr>
          <w:rFonts w:hint="default" w:asciiTheme="minorEastAsia" w:hAnsiTheme="minorEastAsia" w:eastAsiaTheme="minorEastAsia" w:cstheme="minorEastAsia"/>
          <w:color w:val="auto"/>
          <w:spacing w:val="-18"/>
          <w:sz w:val="24"/>
          <w:szCs w:val="24"/>
          <w:highlight w:val="none"/>
          <w:shd w:val="clear" w:color="auto" w:fill="auto"/>
        </w:rPr>
        <w:t>）需求”中所列条款进行比较和响应；</w:t>
      </w: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r>
        <w:rPr>
          <w:rFonts w:hint="default" w:asciiTheme="minorEastAsia" w:hAnsiTheme="minorEastAsia" w:eastAsiaTheme="minorEastAsia" w:cstheme="minorEastAsia"/>
          <w:color w:val="auto"/>
          <w:spacing w:val="-18"/>
          <w:sz w:val="24"/>
          <w:szCs w:val="24"/>
          <w:highlight w:val="none"/>
          <w:shd w:val="clear" w:color="auto" w:fill="auto"/>
        </w:rPr>
        <w:t>2.本表可扩展；</w:t>
      </w: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r>
        <w:rPr>
          <w:rFonts w:hint="default" w:asciiTheme="minorEastAsia" w:hAnsiTheme="minorEastAsia" w:eastAsiaTheme="minorEastAsia" w:cstheme="minorEastAsia"/>
          <w:color w:val="auto"/>
          <w:spacing w:val="-18"/>
          <w:sz w:val="24"/>
          <w:szCs w:val="24"/>
          <w:highlight w:val="none"/>
          <w:shd w:val="clear" w:color="auto" w:fill="auto"/>
        </w:rPr>
        <w:t>3.可附相关技术支撑材料（格式自拟）。</w:t>
      </w: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r>
        <w:rPr>
          <w:rFonts w:hint="default" w:asciiTheme="minorEastAsia" w:hAnsiTheme="minorEastAsia" w:eastAsiaTheme="minorEastAsia" w:cstheme="minorEastAsia"/>
          <w:color w:val="auto"/>
          <w:spacing w:val="-18"/>
          <w:sz w:val="24"/>
          <w:szCs w:val="24"/>
          <w:highlight w:val="none"/>
          <w:shd w:val="clear" w:color="auto" w:fill="auto"/>
        </w:rPr>
        <w:t>4.响应情况栏中应当注明技术参数或具体内容。</w:t>
      </w:r>
    </w:p>
    <w:p>
      <w:pPr>
        <w:tabs>
          <w:tab w:val="left" w:pos="6300"/>
        </w:tabs>
        <w:snapToGrid w:val="0"/>
        <w:spacing w:line="400" w:lineRule="exact"/>
        <w:rPr>
          <w:rFonts w:hint="default" w:ascii="Times New Roman" w:hAnsi="Times New Roman" w:eastAsia="仿宋" w:cs="Times New Roman"/>
          <w:color w:val="auto"/>
          <w:sz w:val="24"/>
          <w:highlight w:val="none"/>
          <w:shd w:val="clear" w:color="auto" w:fill="auto"/>
        </w:rPr>
      </w:pPr>
    </w:p>
    <w:p>
      <w:pPr>
        <w:tabs>
          <w:tab w:val="left" w:pos="6300"/>
        </w:tabs>
        <w:snapToGrid w:val="0"/>
        <w:spacing w:line="400" w:lineRule="exact"/>
        <w:rPr>
          <w:rFonts w:hint="default" w:ascii="Times New Roman" w:hAnsi="Times New Roman" w:eastAsia="仿宋" w:cs="Times New Roman"/>
          <w:color w:val="auto"/>
          <w:sz w:val="24"/>
          <w:highlight w:val="none"/>
          <w:shd w:val="clear" w:color="auto" w:fill="auto"/>
        </w:rPr>
      </w:pPr>
    </w:p>
    <w:p>
      <w:pPr>
        <w:tabs>
          <w:tab w:val="left" w:pos="6300"/>
        </w:tabs>
        <w:snapToGrid w:val="0"/>
        <w:spacing w:line="400" w:lineRule="exact"/>
        <w:rPr>
          <w:rFonts w:hint="default" w:ascii="Times New Roman" w:hAnsi="Times New Roman" w:eastAsia="仿宋" w:cs="Times New Roman"/>
          <w:color w:val="auto"/>
          <w:sz w:val="24"/>
          <w:highlight w:val="none"/>
          <w:shd w:val="clear" w:color="auto" w:fill="auto"/>
        </w:rPr>
      </w:pPr>
    </w:p>
    <w:p>
      <w:pPr>
        <w:numPr>
          <w:ilvl w:val="0"/>
          <w:numId w:val="0"/>
        </w:numPr>
        <w:tabs>
          <w:tab w:val="left" w:pos="6300"/>
        </w:tabs>
        <w:snapToGrid w:val="0"/>
        <w:spacing w:line="400" w:lineRule="exact"/>
        <w:jc w:val="center"/>
        <w:rPr>
          <w:rFonts w:hint="default" w:ascii="方正黑体_GBK" w:hAnsi="方正黑体_GBK" w:eastAsia="方正黑体_GBK" w:cs="方正黑体_GBK"/>
          <w:color w:val="auto"/>
          <w:sz w:val="24"/>
          <w:szCs w:val="28"/>
          <w:highlight w:val="none"/>
          <w:shd w:val="clear" w:color="auto" w:fill="auto"/>
        </w:rPr>
      </w:pPr>
      <w:r>
        <w:rPr>
          <w:rFonts w:hint="default" w:ascii="方正黑体_GBK" w:hAnsi="方正黑体_GBK" w:eastAsia="方正黑体_GBK" w:cs="方正黑体_GBK"/>
          <w:color w:val="auto"/>
          <w:sz w:val="24"/>
          <w:szCs w:val="28"/>
          <w:highlight w:val="none"/>
          <w:shd w:val="clear" w:color="auto" w:fill="auto"/>
        </w:rPr>
        <w:t>（二）其他资料（格式自拟）</w:t>
      </w:r>
      <w:bookmarkStart w:id="115" w:name="_Toc3057"/>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rPr>
          <w:rFonts w:hint="default" w:ascii="Times New Roman" w:hAnsi="Times New Roman" w:eastAsia="仿宋" w:cs="Times New Roman"/>
          <w:b/>
          <w:bCs/>
          <w:color w:val="auto"/>
          <w:sz w:val="24"/>
          <w:szCs w:val="24"/>
          <w:highlight w:val="none"/>
          <w:shd w:val="clear" w:color="auto" w:fill="auto"/>
        </w:rPr>
      </w:pP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p>
      <w:pPr>
        <w:spacing w:line="400" w:lineRule="exact"/>
        <w:rPr>
          <w:rFonts w:hint="default" w:asciiTheme="minorEastAsia" w:hAnsiTheme="minorEastAsia" w:eastAsiaTheme="minorEastAsia" w:cstheme="minorEastAsia"/>
          <w:color w:val="auto"/>
          <w:spacing w:val="-18"/>
          <w:sz w:val="24"/>
          <w:szCs w:val="24"/>
          <w:highlight w:val="none"/>
          <w:shd w:val="clear" w:color="auto" w:fill="auto"/>
        </w:rPr>
      </w:pPr>
    </w:p>
    <w:p>
      <w:pPr>
        <w:spacing w:line="400" w:lineRule="exact"/>
        <w:jc w:val="center"/>
        <w:rPr>
          <w:rFonts w:hint="eastAsia" w:ascii="方正黑体_GBK" w:hAnsi="方正黑体_GBK" w:eastAsia="方正黑体_GBK" w:cs="方正黑体_GBK"/>
          <w:color w:val="auto"/>
          <w:spacing w:val="-18"/>
          <w:sz w:val="28"/>
          <w:szCs w:val="28"/>
          <w:highlight w:val="none"/>
          <w:shd w:val="clear" w:color="auto" w:fill="auto"/>
        </w:rPr>
      </w:pPr>
      <w:r>
        <w:rPr>
          <w:rFonts w:hint="eastAsia" w:ascii="方正黑体_GBK" w:hAnsi="方正黑体_GBK" w:eastAsia="方正黑体_GBK" w:cs="方正黑体_GBK"/>
          <w:color w:val="auto"/>
          <w:spacing w:val="-18"/>
          <w:sz w:val="28"/>
          <w:szCs w:val="28"/>
          <w:highlight w:val="none"/>
          <w:shd w:val="clear" w:color="auto" w:fill="auto"/>
        </w:rPr>
        <w:t>（结束）</w:t>
      </w:r>
      <w:bookmarkEnd w:id="115"/>
    </w:p>
    <w:p>
      <w:pPr>
        <w:pStyle w:val="14"/>
        <w:rPr>
          <w:rFonts w:hint="default" w:ascii="Times New Roman" w:hAnsi="Times New Roman" w:cs="Times New Roman"/>
          <w:lang w:val="en-US" w:eastAsia="zh-CN"/>
        </w:rPr>
      </w:pPr>
    </w:p>
    <w:p>
      <w:pPr>
        <w:pStyle w:val="14"/>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sectPr>
      <w:footerReference r:id="rId6" w:type="default"/>
      <w:pgSz w:w="11906" w:h="16838"/>
      <w:pgMar w:top="1984" w:right="1446" w:bottom="1644" w:left="1446" w:header="851" w:footer="1134" w:gutter="0"/>
      <w:pgNumType w:fmt="decimal"/>
      <w:cols w:space="0" w:num="1"/>
      <w:rtlGutter w:val="0"/>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3237"/>
        <w:tab w:val="clear" w:pos="4153"/>
      </w:tabs>
      <w:jc w:val="left"/>
      <w:rPr>
        <w:rFonts w:hint="eastAsia" w:eastAsia="方正仿宋_GBK"/>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F4050"/>
    <w:multiLevelType w:val="multilevel"/>
    <w:tmpl w:val="BACF4050"/>
    <w:lvl w:ilvl="0" w:tentative="0">
      <w:start w:val="1"/>
      <w:numFmt w:val="decimal"/>
      <w:pStyle w:val="3"/>
      <w:suff w:val="space"/>
      <w:lvlText w:val="%1."/>
      <w:lvlJc w:val="left"/>
      <w:pPr>
        <w:tabs>
          <w:tab w:val="left" w:pos="420"/>
        </w:tabs>
        <w:ind w:left="425" w:hanging="425"/>
      </w:pPr>
      <w:rPr>
        <w:rFonts w:hint="default" w:ascii="宋体" w:hAnsi="宋体" w:eastAsia="宋体" w:cs="宋体"/>
      </w:rPr>
    </w:lvl>
    <w:lvl w:ilvl="1" w:tentative="0">
      <w:start w:val="1"/>
      <w:numFmt w:val="decimal"/>
      <w:pStyle w:val="4"/>
      <w:suff w:val="space"/>
      <w:lvlText w:val="%1.%2"/>
      <w:lvlJc w:val="left"/>
      <w:pPr>
        <w:tabs>
          <w:tab w:val="left" w:pos="420"/>
        </w:tabs>
        <w:ind w:left="850" w:hanging="453"/>
      </w:pPr>
      <w:rPr>
        <w:rFonts w:hint="default" w:ascii="宋体" w:hAnsi="宋体" w:eastAsia="宋体" w:cs="宋体"/>
      </w:rPr>
    </w:lvl>
    <w:lvl w:ilvl="2" w:tentative="0">
      <w:start w:val="1"/>
      <w:numFmt w:val="decimal"/>
      <w:suff w:val="space"/>
      <w:lvlText w:val="%1.%2.%3"/>
      <w:lvlJc w:val="left"/>
      <w:pPr>
        <w:tabs>
          <w:tab w:val="left" w:pos="420"/>
        </w:tabs>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320"/>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4165E"/>
    <w:rsid w:val="1C156507"/>
    <w:rsid w:val="24657700"/>
    <w:rsid w:val="2F54165E"/>
    <w:rsid w:val="42930AB0"/>
    <w:rsid w:val="63F22B30"/>
    <w:rsid w:val="693E1814"/>
    <w:rsid w:val="70493011"/>
    <w:rsid w:val="717F4FE9"/>
    <w:rsid w:val="769937B2"/>
    <w:rsid w:val="7717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numPr>
        <w:ilvl w:val="0"/>
        <w:numId w:val="1"/>
      </w:numPr>
      <w:spacing w:beforeLines="0" w:beforeAutospacing="0" w:afterLines="0" w:afterAutospacing="0" w:line="594" w:lineRule="exact"/>
      <w:ind w:left="425" w:hanging="425"/>
      <w:outlineLvl w:val="0"/>
    </w:pPr>
    <w:rPr>
      <w:rFonts w:eastAsia="方正黑体_GBK"/>
      <w:kern w:val="44"/>
      <w:sz w:val="32"/>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94" w:lineRule="exact"/>
      <w:ind w:left="850" w:hanging="453"/>
      <w:outlineLvl w:val="1"/>
    </w:pPr>
    <w:rPr>
      <w:rFonts w:ascii="Arial" w:hAnsi="Arial" w:eastAsia="方正楷体_GBK"/>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Indent"/>
    <w:basedOn w:val="1"/>
    <w:qFormat/>
    <w:uiPriority w:val="0"/>
    <w:pPr>
      <w:widowControl w:val="0"/>
      <w:snapToGrid w:val="0"/>
      <w:spacing w:line="324" w:lineRule="auto"/>
      <w:ind w:firstLine="585"/>
      <w:jc w:val="both"/>
    </w:pPr>
    <w:rPr>
      <w:rFonts w:ascii="Times New Roman" w:hAnsi="Times New Roman" w:eastAsia="方正仿宋_GBK" w:cs="Times New Roman"/>
      <w:kern w:val="2"/>
      <w:sz w:val="28"/>
      <w:szCs w:val="20"/>
      <w:lang w:val="en-US" w:eastAsia="zh-CN" w:bidi="ar-SA"/>
    </w:r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9">
    <w:name w:val="toc 2"/>
    <w:basedOn w:val="1"/>
    <w:next w:val="1"/>
    <w:qFormat/>
    <w:uiPriority w:val="39"/>
    <w:pPr>
      <w:tabs>
        <w:tab w:val="right" w:leader="dot" w:pos="8400"/>
      </w:tabs>
      <w:spacing w:line="440" w:lineRule="exact"/>
      <w:ind w:left="280" w:leftChars="100" w:rightChars="-91"/>
    </w:p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 w:type="paragraph" w:customStyle="1" w:styleId="14">
    <w:name w:val="Default"/>
    <w:next w:val="1"/>
    <w:qFormat/>
    <w:uiPriority w:val="0"/>
    <w:pPr>
      <w:widowControl w:val="0"/>
      <w:autoSpaceDE w:val="0"/>
      <w:autoSpaceDN w:val="0"/>
      <w:adjustRightInd w:val="0"/>
    </w:pPr>
    <w:rPr>
      <w:rFonts w:hint="eastAsia" w:ascii="Times New Roman" w:hAnsi="Times New Roman" w:eastAsia="方正仿宋_GBK"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2025-12-03T03:36:00Z</dcterms:created>
  <dc:creator>喻祖鹏</dc:creator>
  <cp:lastModifiedBy>喻祖鹏</cp:lastModifiedBy>
  <dcterms:modified xsi:type="dcterms:W3CDTF">2025-12-03T11:58:15Z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CB9AA0972ACD48FEBCD77A867BEE96EA</vt:lpwstr>
  </property>
</Properties>
</file>