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line="594" w:lineRule="exact"/>
        <w:jc w:val="both"/>
        <w:textAlignment w:val="auto"/>
        <w:rPr>
          <w:rFonts w:hint="eastAsia" w:ascii="方正黑体_GBK" w:hAnsi="方正黑体_GBK" w:eastAsia="方正黑体_GBK" w:cs="方正黑体_GBK"/>
          <w:b w:val="0"/>
          <w:bCs/>
          <w:kern w:val="0"/>
          <w:sz w:val="32"/>
          <w:szCs w:val="32"/>
          <w:lang w:val="en-US" w:eastAsia="zh-CN"/>
        </w:rPr>
      </w:pPr>
      <w:r>
        <w:rPr>
          <w:rFonts w:hint="eastAsia" w:ascii="方正黑体_GBK" w:hAnsi="方正黑体_GBK" w:eastAsia="方正黑体_GBK" w:cs="方正黑体_GBK"/>
          <w:b w:val="0"/>
          <w:bCs/>
          <w:kern w:val="0"/>
          <w:sz w:val="32"/>
          <w:szCs w:val="32"/>
          <w:lang w:val="en-US" w:eastAsia="zh-CN"/>
        </w:rPr>
        <w:t>附件2</w:t>
      </w:r>
    </w:p>
    <w:p>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宋体"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Theme="minorEastAsia" w:hAnsiTheme="minorEastAsia" w:eastAsiaTheme="minorEastAsia" w:cstheme="minorEastAsia"/>
          <w:color w:val="000000"/>
          <w:kern w:val="0"/>
          <w:sz w:val="28"/>
          <w:szCs w:val="28"/>
          <w:lang w:val="en-US" w:eastAsia="zh-CN"/>
        </w:rPr>
      </w:pPr>
      <w:bookmarkStart w:id="0" w:name="_GoBack"/>
      <w:r>
        <w:rPr>
          <w:rFonts w:hint="eastAsia" w:ascii="方正小标宋_GBK" w:hAnsi="方正小标宋_GBK" w:eastAsia="方正小标宋_GBK" w:cs="方正小标宋_GBK"/>
          <w:color w:val="000000"/>
          <w:kern w:val="0"/>
          <w:sz w:val="44"/>
          <w:szCs w:val="44"/>
          <w:lang w:val="en-US" w:eastAsia="zh-CN"/>
        </w:rPr>
        <w:t>磷化铝采购</w:t>
      </w:r>
      <w:r>
        <w:rPr>
          <w:rFonts w:hint="eastAsia" w:ascii="方正小标宋_GBK" w:hAnsi="方正小标宋_GBK" w:eastAsia="方正小标宋_GBK" w:cs="方正小标宋_GBK"/>
          <w:color w:val="000000"/>
          <w:kern w:val="0"/>
          <w:sz w:val="44"/>
          <w:szCs w:val="44"/>
        </w:rPr>
        <w:t>合同</w:t>
      </w:r>
      <w:bookmarkEnd w:id="0"/>
    </w:p>
    <w:p>
      <w:pPr>
        <w:keepNext w:val="0"/>
        <w:keepLines w:val="0"/>
        <w:pageBreakBefore w:val="0"/>
        <w:widowControl w:val="0"/>
        <w:kinsoku/>
        <w:wordWrap/>
        <w:overflowPunct/>
        <w:topLinePunct w:val="0"/>
        <w:autoSpaceDE/>
        <w:autoSpaceDN/>
        <w:bidi w:val="0"/>
        <w:adjustRightInd/>
        <w:snapToGrid/>
        <w:spacing w:line="360" w:lineRule="exact"/>
        <w:ind w:firstLine="5600" w:firstLineChars="2000"/>
        <w:jc w:val="left"/>
        <w:textAlignment w:val="auto"/>
        <w:rPr>
          <w:rFonts w:hint="default" w:asciiTheme="minorEastAsia" w:hAnsiTheme="minorEastAsia" w:eastAsiaTheme="minorEastAsia" w:cstheme="minorEastAsia"/>
          <w:color w:val="000000"/>
          <w:kern w:val="0"/>
          <w:sz w:val="28"/>
          <w:szCs w:val="28"/>
          <w:lang w:val="en-US" w:eastAsia="zh-CN"/>
        </w:rPr>
      </w:pPr>
      <w:r>
        <w:rPr>
          <w:rFonts w:hint="eastAsia" w:ascii="方正楷体_GBK" w:hAnsi="方正楷体_GBK" w:eastAsia="方正楷体_GBK" w:cs="方正楷体_GBK"/>
          <w:color w:val="000000"/>
          <w:kern w:val="0"/>
          <w:sz w:val="28"/>
          <w:szCs w:val="28"/>
        </w:rPr>
        <w:t>合同编号：</w:t>
      </w:r>
      <w:r>
        <w:rPr>
          <w:rFonts w:hint="eastAsia" w:ascii="方正楷体_GBK" w:hAnsi="方正楷体_GBK" w:eastAsia="方正楷体_GBK" w:cs="方正楷体_GBK"/>
          <w:color w:val="000000"/>
          <w:kern w:val="0"/>
          <w:sz w:val="28"/>
          <w:szCs w:val="28"/>
          <w:lang w:val="en-US" w:eastAsia="zh-CN"/>
        </w:rPr>
        <w:t>LPCG260****01</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_GBK" w:hAnsi="方正黑体_GBK" w:eastAsia="方正黑体_GBK" w:cs="方正黑体_GBK"/>
          <w:b w:val="0"/>
          <w:bCs w:val="0"/>
          <w:color w:val="000000"/>
          <w:kern w:val="0"/>
          <w:sz w:val="28"/>
          <w:szCs w:val="28"/>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8"/>
          <w:szCs w:val="28"/>
        </w:rPr>
      </w:pPr>
      <w:r>
        <w:rPr>
          <w:rFonts w:hint="eastAsia" w:ascii="方正黑体_GBK" w:hAnsi="方正黑体_GBK" w:eastAsia="方正黑体_GBK" w:cs="方正黑体_GBK"/>
          <w:b w:val="0"/>
          <w:bCs w:val="0"/>
          <w:color w:val="000000"/>
          <w:kern w:val="0"/>
          <w:sz w:val="28"/>
          <w:szCs w:val="28"/>
        </w:rPr>
        <w:t>甲方</w:t>
      </w:r>
      <w:r>
        <w:rPr>
          <w:rFonts w:hint="eastAsia" w:ascii="方正黑体_GBK" w:hAnsi="方正黑体_GBK" w:eastAsia="方正黑体_GBK" w:cs="方正黑体_GBK"/>
          <w:b w:val="0"/>
          <w:bCs w:val="0"/>
          <w:color w:val="000000"/>
          <w:kern w:val="0"/>
          <w:sz w:val="28"/>
          <w:szCs w:val="28"/>
          <w:lang w:eastAsia="zh-CN"/>
        </w:rPr>
        <w:t>（需方）</w:t>
      </w:r>
      <w:r>
        <w:rPr>
          <w:rFonts w:hint="eastAsia" w:ascii="方正黑体_GBK" w:hAnsi="方正黑体_GBK" w:eastAsia="方正黑体_GBK" w:cs="方正黑体_GBK"/>
          <w:b w:val="0"/>
          <w:bCs w:val="0"/>
          <w:color w:val="000000"/>
          <w:kern w:val="0"/>
          <w:sz w:val="28"/>
          <w:szCs w:val="28"/>
        </w:rPr>
        <w:t>：</w:t>
      </w:r>
      <w:r>
        <w:rPr>
          <w:rFonts w:hint="eastAsia" w:asciiTheme="minorEastAsia" w:hAnsiTheme="minorEastAsia" w:eastAsiaTheme="minorEastAsia" w:cstheme="minorEastAsia"/>
          <w:color w:val="000000"/>
          <w:kern w:val="0"/>
          <w:sz w:val="28"/>
          <w:szCs w:val="28"/>
          <w:lang w:eastAsia="zh-CN"/>
        </w:rPr>
        <w:t>重庆储备粮管理集团有限公司梁平分公司</w:t>
      </w:r>
      <w:r>
        <w:rPr>
          <w:rFonts w:hint="eastAsia" w:asciiTheme="minorEastAsia" w:hAnsiTheme="minorEastAsia" w:eastAsiaTheme="minorEastAsia" w:cstheme="minorEastAsia"/>
          <w:color w:val="000000"/>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方正黑体_GBK" w:hAnsi="方正黑体_GBK" w:eastAsia="方正黑体_GBK" w:cs="方正黑体_GBK"/>
          <w:b w:val="0"/>
          <w:bCs w:val="0"/>
          <w:color w:val="000000"/>
          <w:kern w:val="0"/>
          <w:sz w:val="28"/>
          <w:szCs w:val="28"/>
          <w:lang w:val="en-US" w:eastAsia="zh-CN"/>
        </w:rPr>
        <w:t>统一社会信用代码</w:t>
      </w:r>
      <w:r>
        <w:rPr>
          <w:rFonts w:hint="eastAsia" w:asciiTheme="minorEastAsia" w:hAnsiTheme="minorEastAsia" w:eastAsiaTheme="minorEastAsia" w:cstheme="minorEastAsia"/>
          <w:color w:val="000000"/>
          <w:kern w:val="0"/>
          <w:sz w:val="28"/>
          <w:szCs w:val="28"/>
          <w:lang w:val="en-US" w:eastAsia="zh-CN"/>
        </w:rPr>
        <w:t>：</w:t>
      </w:r>
      <w:r>
        <w:rPr>
          <w:rFonts w:hint="default" w:ascii="Times New Roman" w:hAnsi="Times New Roman" w:cs="Times New Roman" w:eastAsiaTheme="minorEastAsia"/>
          <w:color w:val="000000"/>
          <w:kern w:val="0"/>
          <w:sz w:val="28"/>
          <w:szCs w:val="28"/>
          <w:lang w:val="en-US" w:eastAsia="zh-CN"/>
        </w:rPr>
        <w:t>91500155MAE59HMQ5N</w:t>
      </w:r>
      <w:r>
        <w:rPr>
          <w:rFonts w:hint="eastAsia" w:asciiTheme="minorEastAsia" w:hAnsiTheme="minorEastAsia" w:eastAsiaTheme="minorEastAsia" w:cstheme="minorEastAsia"/>
          <w:color w:val="00000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方正黑体_GBK" w:hAnsi="方正黑体_GBK" w:eastAsia="方正黑体_GBK" w:cs="方正黑体_GBK"/>
          <w:b w:val="0"/>
          <w:bCs w:val="0"/>
          <w:color w:val="000000"/>
          <w:kern w:val="0"/>
          <w:sz w:val="28"/>
          <w:szCs w:val="28"/>
          <w:lang w:val="en-US" w:eastAsia="zh-CN"/>
        </w:rPr>
        <w:t>主要负责人：</w:t>
      </w:r>
      <w:r>
        <w:rPr>
          <w:rFonts w:hint="eastAsia" w:asciiTheme="minorEastAsia" w:hAnsiTheme="minorEastAsia" w:eastAsiaTheme="minorEastAsia" w:cstheme="minorEastAsia"/>
          <w:color w:val="000000"/>
          <w:kern w:val="0"/>
          <w:sz w:val="28"/>
          <w:szCs w:val="28"/>
          <w:lang w:val="en-US" w:eastAsia="zh-CN"/>
        </w:rPr>
        <w:t xml:space="preserve">喻祖鹏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方正黑体_GBK" w:hAnsi="方正黑体_GBK" w:eastAsia="方正黑体_GBK" w:cs="方正黑体_GBK"/>
          <w:b w:val="0"/>
          <w:bCs w:val="0"/>
          <w:color w:val="000000"/>
          <w:kern w:val="0"/>
          <w:sz w:val="28"/>
          <w:szCs w:val="28"/>
          <w:lang w:val="en-US" w:eastAsia="zh-CN"/>
        </w:rPr>
        <w:t>地址：</w:t>
      </w:r>
      <w:r>
        <w:rPr>
          <w:rFonts w:hint="eastAsia" w:asciiTheme="minorEastAsia" w:hAnsiTheme="minorEastAsia" w:eastAsiaTheme="minorEastAsia" w:cstheme="minorEastAsia"/>
          <w:color w:val="000000"/>
          <w:kern w:val="0"/>
          <w:sz w:val="28"/>
          <w:szCs w:val="28"/>
          <w:lang w:val="en-US" w:eastAsia="zh-CN"/>
        </w:rPr>
        <w:t>重庆市梁平区梁山街道</w:t>
      </w:r>
      <w:r>
        <w:rPr>
          <w:rFonts w:hint="default" w:ascii="Times New Roman" w:hAnsi="Times New Roman" w:cs="Times New Roman" w:eastAsiaTheme="minorEastAsia"/>
          <w:color w:val="000000"/>
          <w:kern w:val="0"/>
          <w:sz w:val="28"/>
          <w:szCs w:val="28"/>
          <w:lang w:val="en-US" w:eastAsia="zh-CN"/>
        </w:rPr>
        <w:t>上八村2组131号</w:t>
      </w:r>
      <w:r>
        <w:rPr>
          <w:rFonts w:hint="eastAsia" w:asciiTheme="minorEastAsia" w:hAnsiTheme="minorEastAsia" w:eastAsiaTheme="minorEastAsia" w:cstheme="minorEastAsia"/>
          <w:color w:val="00000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方正黑体_GBK" w:hAnsi="方正黑体_GBK" w:eastAsia="方正黑体_GBK" w:cs="方正黑体_GBK"/>
          <w:b w:val="0"/>
          <w:bCs w:val="0"/>
          <w:color w:val="000000"/>
          <w:kern w:val="0"/>
          <w:sz w:val="28"/>
          <w:szCs w:val="28"/>
          <w:lang w:val="en-US" w:eastAsia="zh-CN"/>
        </w:rPr>
        <w:t>项目经办人：</w:t>
      </w:r>
      <w:r>
        <w:rPr>
          <w:rFonts w:hint="eastAsia" w:asciiTheme="minorEastAsia" w:hAnsiTheme="minorEastAsia" w:eastAsiaTheme="minorEastAsia" w:cstheme="minorEastAsia"/>
          <w:color w:val="00000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方正黑体_GBK" w:hAnsi="方正黑体_GBK" w:eastAsia="方正黑体_GBK" w:cs="方正黑体_GBK"/>
          <w:b w:val="0"/>
          <w:bCs w:val="0"/>
          <w:color w:val="000000"/>
          <w:kern w:val="0"/>
          <w:sz w:val="28"/>
          <w:szCs w:val="28"/>
          <w:lang w:val="en-US" w:eastAsia="zh-CN"/>
        </w:rPr>
        <w:t>电话/电子邮件：</w:t>
      </w:r>
      <w:r>
        <w:rPr>
          <w:rFonts w:hint="eastAsia" w:asciiTheme="minorEastAsia" w:hAnsiTheme="minorEastAsia" w:eastAsiaTheme="minorEastAsia" w:cstheme="minorEastAsia"/>
          <w:color w:val="00000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left"/>
        <w:textAlignment w:val="auto"/>
        <w:rPr>
          <w:rFonts w:hint="eastAsia" w:asciiTheme="minorEastAsia" w:hAnsiTheme="minorEastAsia" w:eastAsiaTheme="minorEastAsia" w:cstheme="minorEastAsia"/>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8"/>
          <w:szCs w:val="28"/>
        </w:rPr>
      </w:pPr>
      <w:r>
        <w:rPr>
          <w:rFonts w:hint="eastAsia" w:ascii="方正黑体_GBK" w:hAnsi="方正黑体_GBK" w:eastAsia="方正黑体_GBK" w:cs="方正黑体_GBK"/>
          <w:b w:val="0"/>
          <w:bCs w:val="0"/>
          <w:color w:val="000000"/>
          <w:kern w:val="0"/>
          <w:sz w:val="28"/>
          <w:szCs w:val="28"/>
        </w:rPr>
        <w:t>乙方</w:t>
      </w:r>
      <w:r>
        <w:rPr>
          <w:rFonts w:hint="eastAsia" w:ascii="方正黑体_GBK" w:hAnsi="方正黑体_GBK" w:eastAsia="方正黑体_GBK" w:cs="方正黑体_GBK"/>
          <w:b w:val="0"/>
          <w:bCs w:val="0"/>
          <w:color w:val="000000"/>
          <w:kern w:val="0"/>
          <w:sz w:val="28"/>
          <w:szCs w:val="28"/>
          <w:lang w:eastAsia="zh-CN"/>
        </w:rPr>
        <w:t>（供方）</w:t>
      </w:r>
      <w:r>
        <w:rPr>
          <w:rFonts w:hint="eastAsia" w:ascii="方正黑体_GBK" w:hAnsi="方正黑体_GBK" w:eastAsia="方正黑体_GBK" w:cs="方正黑体_GBK"/>
          <w:b w:val="0"/>
          <w:bCs w:val="0"/>
          <w:color w:val="000000"/>
          <w:kern w:val="0"/>
          <w:sz w:val="28"/>
          <w:szCs w:val="28"/>
        </w:rPr>
        <w:t>：</w:t>
      </w:r>
      <w:r>
        <w:rPr>
          <w:rFonts w:hint="eastAsia" w:asciiTheme="minorEastAsia" w:hAnsiTheme="minorEastAsia" w:eastAsiaTheme="minorEastAsia" w:cstheme="minorEastAsia"/>
          <w:color w:val="000000"/>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方正黑体_GBK" w:hAnsi="方正黑体_GBK" w:eastAsia="方正黑体_GBK" w:cs="方正黑体_GBK"/>
          <w:b w:val="0"/>
          <w:bCs w:val="0"/>
          <w:color w:val="000000"/>
          <w:kern w:val="0"/>
          <w:sz w:val="28"/>
          <w:szCs w:val="28"/>
          <w:lang w:val="en-US" w:eastAsia="zh-CN"/>
        </w:rPr>
        <w:t>统一社会信用代码：</w:t>
      </w:r>
      <w:r>
        <w:rPr>
          <w:rFonts w:hint="eastAsia" w:asciiTheme="minorEastAsia" w:hAnsiTheme="minorEastAsia" w:eastAsiaTheme="minorEastAsia" w:cstheme="minorEastAsia"/>
          <w:color w:val="00000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_GBK" w:hAnsi="方正黑体_GBK" w:eastAsia="方正黑体_GBK" w:cs="方正黑体_GBK"/>
          <w:b w:val="0"/>
          <w:bCs w:val="0"/>
          <w:color w:val="000000"/>
          <w:kern w:val="0"/>
          <w:sz w:val="28"/>
          <w:szCs w:val="28"/>
          <w:lang w:val="en-US" w:eastAsia="zh-CN"/>
        </w:rPr>
      </w:pPr>
      <w:r>
        <w:rPr>
          <w:rFonts w:hint="eastAsia" w:ascii="方正黑体_GBK" w:hAnsi="方正黑体_GBK" w:eastAsia="方正黑体_GBK" w:cs="方正黑体_GBK"/>
          <w:color w:val="auto"/>
          <w:sz w:val="28"/>
          <w:szCs w:val="28"/>
          <w:u w:val="none"/>
          <w:lang w:val="en-US" w:eastAsia="zh-CN"/>
        </w:rPr>
        <w:t>危险化学品经营许可证：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方正黑体_GBK" w:hAnsi="方正黑体_GBK" w:eastAsia="方正黑体_GBK" w:cs="方正黑体_GBK"/>
          <w:b w:val="0"/>
          <w:bCs w:val="0"/>
          <w:color w:val="000000"/>
          <w:kern w:val="0"/>
          <w:sz w:val="28"/>
          <w:szCs w:val="28"/>
          <w:lang w:val="en-US" w:eastAsia="zh-CN"/>
        </w:rPr>
      </w:pPr>
      <w:r>
        <w:rPr>
          <w:rFonts w:hint="eastAsia" w:ascii="方正黑体_GBK" w:hAnsi="方正黑体_GBK" w:eastAsia="方正黑体_GBK" w:cs="方正黑体_GBK"/>
          <w:b w:val="0"/>
          <w:bCs w:val="0"/>
          <w:color w:val="000000"/>
          <w:kern w:val="0"/>
          <w:sz w:val="28"/>
          <w:szCs w:val="28"/>
          <w:lang w:val="en-US" w:eastAsia="zh-CN"/>
        </w:rPr>
        <w:t>法定代表人：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方正黑体_GBK" w:hAnsi="方正黑体_GBK" w:eastAsia="方正黑体_GBK" w:cs="方正黑体_GBK"/>
          <w:b w:val="0"/>
          <w:bCs w:val="0"/>
          <w:color w:val="000000"/>
          <w:kern w:val="0"/>
          <w:sz w:val="28"/>
          <w:szCs w:val="28"/>
          <w:lang w:val="en-US" w:eastAsia="zh-CN"/>
        </w:rPr>
        <w:t xml:space="preserve">地址： </w:t>
      </w:r>
      <w:r>
        <w:rPr>
          <w:rFonts w:hint="eastAsia" w:asciiTheme="minorEastAsia" w:hAnsiTheme="minorEastAsia" w:eastAsiaTheme="minorEastAsia" w:cstheme="minorEastAsia"/>
          <w:color w:val="00000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方正黑体_GBK" w:hAnsi="方正黑体_GBK" w:eastAsia="方正黑体_GBK" w:cs="方正黑体_GBK"/>
          <w:b w:val="0"/>
          <w:bCs w:val="0"/>
          <w:color w:val="000000"/>
          <w:kern w:val="0"/>
          <w:sz w:val="28"/>
          <w:szCs w:val="28"/>
          <w:lang w:val="en-US" w:eastAsia="zh-CN"/>
        </w:rPr>
        <w:t xml:space="preserve">项目经办人： </w:t>
      </w:r>
      <w:r>
        <w:rPr>
          <w:rFonts w:hint="eastAsia" w:asciiTheme="minorEastAsia" w:hAnsiTheme="minorEastAsia" w:eastAsiaTheme="minorEastAsia" w:cstheme="minorEastAsia"/>
          <w:color w:val="000000"/>
          <w:kern w:val="0"/>
          <w:sz w:val="28"/>
          <w:szCs w:val="28"/>
          <w:lang w:val="en-US" w:eastAsia="zh-CN"/>
        </w:rPr>
        <w:t xml:space="preserve">                                                        </w:t>
      </w:r>
    </w:p>
    <w:p>
      <w:pPr>
        <w:spacing w:line="360" w:lineRule="exact"/>
        <w:jc w:val="left"/>
        <w:rPr>
          <w:rFonts w:hint="eastAsia" w:asciiTheme="minorEastAsia" w:hAnsiTheme="minorEastAsia" w:eastAsiaTheme="minorEastAsia" w:cstheme="minorEastAsia"/>
          <w:color w:val="000000"/>
          <w:kern w:val="0"/>
          <w:sz w:val="28"/>
          <w:szCs w:val="28"/>
        </w:rPr>
      </w:pPr>
      <w:r>
        <w:rPr>
          <w:rFonts w:hint="eastAsia" w:ascii="方正黑体_GBK" w:hAnsi="方正黑体_GBK" w:eastAsia="方正黑体_GBK" w:cs="方正黑体_GBK"/>
          <w:b w:val="0"/>
          <w:bCs w:val="0"/>
          <w:color w:val="000000"/>
          <w:kern w:val="0"/>
          <w:sz w:val="28"/>
          <w:szCs w:val="28"/>
          <w:lang w:val="en-US" w:eastAsia="zh-CN"/>
        </w:rPr>
        <w:t>电话/电子邮件：</w:t>
      </w:r>
      <w:r>
        <w:rPr>
          <w:rFonts w:hint="eastAsia" w:asciiTheme="minorEastAsia" w:hAnsiTheme="minorEastAsia" w:eastAsiaTheme="minorEastAsia" w:cstheme="minorEastAsia"/>
          <w:color w:val="000000"/>
          <w:kern w:val="0"/>
          <w:sz w:val="28"/>
          <w:szCs w:val="28"/>
          <w:lang w:val="en-US" w:eastAsia="zh-CN"/>
        </w:rPr>
        <w:t xml:space="preserve">  </w:t>
      </w:r>
      <w:r>
        <w:rPr>
          <w:rFonts w:hint="eastAsia" w:asciiTheme="minorEastAsia" w:hAnsiTheme="minorEastAsia" w:eastAsiaTheme="minorEastAsia" w:cstheme="minorEastAsia"/>
          <w:color w:val="000000"/>
          <w:kern w:val="0"/>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 xml:space="preserve">签约日期：2026年   月   日   </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签约地点：传真/扫描</w:t>
      </w:r>
    </w:p>
    <w:p>
      <w:pPr>
        <w:spacing w:line="380" w:lineRule="exact"/>
        <w:ind w:firstLine="0" w:firstLineChars="0"/>
        <w:rPr>
          <w:rFonts w:hint="default" w:ascii="Times New Roman" w:hAnsi="Times New Roman" w:eastAsia="宋体" w:cs="Times New Roman"/>
          <w:color w:val="auto"/>
          <w:sz w:val="28"/>
          <w:szCs w:val="28"/>
          <w:u w:val="none"/>
          <w:lang w:val="en-US" w:eastAsia="zh-CN"/>
        </w:rPr>
      </w:pPr>
    </w:p>
    <w:p>
      <w:pPr>
        <w:spacing w:line="38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eastAsia="宋体" w:cs="Times New Roman"/>
          <w:color w:val="auto"/>
          <w:sz w:val="28"/>
          <w:szCs w:val="28"/>
          <w:u w:val="none"/>
          <w:lang w:val="en-US" w:eastAsia="zh-CN"/>
        </w:rPr>
        <w:t>甲乙双方的统一社会信用代码、营业执照、开户信息、法定代表人（主要负责人）身份证明书及身份证复印件、签约代表授权委托书及身份证复印件，以及危险化学品经营许可证等有效特种许可证照复印件为本合同附件；双方一致确认上述地址（包括电子邮件送达）为双方送达相关文书的确认地址，如地址变更应</w:t>
      </w:r>
      <w:r>
        <w:rPr>
          <w:rFonts w:hint="default" w:ascii="Times New Roman" w:hAnsi="Times New Roman" w:eastAsia="宋体" w:cs="Times New Roman"/>
          <w:b w:val="0"/>
          <w:bCs w:val="0"/>
          <w:sz w:val="28"/>
          <w:szCs w:val="28"/>
        </w:rPr>
        <w:t>在3个工作日内以</w:t>
      </w:r>
      <w:r>
        <w:rPr>
          <w:rFonts w:hint="default" w:ascii="Times New Roman" w:hAnsi="Times New Roman" w:eastAsia="宋体" w:cs="Times New Roman"/>
          <w:color w:val="auto"/>
          <w:sz w:val="28"/>
          <w:szCs w:val="28"/>
          <w:u w:val="none"/>
          <w:lang w:val="en-US" w:eastAsia="zh-CN"/>
        </w:rPr>
        <w:t>书面</w:t>
      </w:r>
      <w:r>
        <w:rPr>
          <w:rFonts w:hint="default" w:ascii="Times New Roman" w:hAnsi="Times New Roman" w:eastAsia="宋体" w:cs="Times New Roman"/>
          <w:b w:val="0"/>
          <w:bCs w:val="0"/>
          <w:sz w:val="28"/>
          <w:szCs w:val="28"/>
        </w:rPr>
        <w:t>形式</w:t>
      </w:r>
      <w:r>
        <w:rPr>
          <w:rFonts w:hint="default" w:ascii="Times New Roman" w:hAnsi="Times New Roman" w:eastAsia="宋体" w:cs="Times New Roman"/>
          <w:color w:val="auto"/>
          <w:sz w:val="28"/>
          <w:szCs w:val="28"/>
          <w:u w:val="none"/>
          <w:lang w:val="en-US" w:eastAsia="zh-CN"/>
        </w:rPr>
        <w:t>向对方进行变更登记告知，否则一方按上述约定地址或电子邮箱送达均视为对方接收。</w:t>
      </w:r>
    </w:p>
    <w:p>
      <w:pPr>
        <w:spacing w:line="380" w:lineRule="exact"/>
        <w:rPr>
          <w:rFonts w:hint="default" w:ascii="Times New Roman" w:hAnsi="Times New Roman" w:eastAsia="宋体" w:cs="Times New Roman"/>
          <w:color w:val="auto"/>
          <w:sz w:val="28"/>
          <w:szCs w:val="28"/>
          <w:u w:val="none"/>
          <w:lang w:val="en-US" w:eastAsia="zh-CN"/>
        </w:rPr>
      </w:pPr>
    </w:p>
    <w:p>
      <w:pPr>
        <w:spacing w:line="380" w:lineRule="exact"/>
        <w:ind w:firstLine="560" w:firstLineChars="200"/>
        <w:rPr>
          <w:rFonts w:hint="default" w:ascii="Times New Roman" w:hAnsi="Times New Roman" w:eastAsia="宋体" w:cs="Times New Roman"/>
          <w:color w:val="auto"/>
          <w:sz w:val="28"/>
          <w:szCs w:val="28"/>
          <w:u w:val="none"/>
          <w:lang w:eastAsia="zh-CN"/>
        </w:rPr>
      </w:pPr>
      <w:r>
        <w:rPr>
          <w:rFonts w:hint="default" w:ascii="Times New Roman" w:hAnsi="Times New Roman" w:eastAsia="宋体" w:cs="Times New Roman"/>
          <w:color w:val="auto"/>
          <w:sz w:val="28"/>
          <w:szCs w:val="28"/>
          <w:u w:val="none"/>
          <w:lang w:val="en-US" w:eastAsia="zh-CN"/>
        </w:rPr>
        <w:t>鉴于甲方储粮管理需求，</w:t>
      </w:r>
      <w:r>
        <w:rPr>
          <w:rFonts w:hint="default" w:ascii="Times New Roman" w:hAnsi="Times New Roman" w:eastAsia="宋体" w:cs="Times New Roman"/>
          <w:color w:val="auto"/>
          <w:sz w:val="28"/>
          <w:szCs w:val="28"/>
          <w:u w:val="none"/>
          <w:lang w:eastAsia="zh-CN"/>
        </w:rPr>
        <w:t>乙方具备相应资质和能力，甲方通过询价比选方式确定乙方为甲方</w:t>
      </w:r>
      <w:r>
        <w:rPr>
          <w:rFonts w:hint="default" w:ascii="Times New Roman" w:hAnsi="Times New Roman" w:eastAsia="宋体" w:cs="Times New Roman"/>
          <w:color w:val="auto"/>
          <w:sz w:val="28"/>
          <w:szCs w:val="28"/>
          <w:u w:val="none"/>
          <w:lang w:val="en-US" w:eastAsia="zh-CN"/>
        </w:rPr>
        <w:t>提供药品磷化铝</w:t>
      </w:r>
      <w:r>
        <w:rPr>
          <w:rFonts w:hint="default" w:ascii="Times New Roman" w:hAnsi="Times New Roman" w:eastAsia="宋体" w:cs="Times New Roman"/>
          <w:color w:val="auto"/>
          <w:sz w:val="28"/>
          <w:szCs w:val="28"/>
          <w:u w:val="none"/>
          <w:lang w:eastAsia="zh-CN"/>
        </w:rPr>
        <w:t>，依据《</w:t>
      </w:r>
      <w:r>
        <w:rPr>
          <w:rFonts w:hint="default" w:ascii="Times New Roman" w:hAnsi="Times New Roman" w:eastAsia="宋体" w:cs="Times New Roman"/>
          <w:color w:val="auto"/>
          <w:sz w:val="28"/>
          <w:szCs w:val="28"/>
          <w:u w:val="none"/>
          <w:lang w:val="en-US" w:eastAsia="zh-CN"/>
        </w:rPr>
        <w:t>中华人民共和国民法典</w:t>
      </w:r>
      <w:r>
        <w:rPr>
          <w:rFonts w:hint="default" w:ascii="Times New Roman" w:hAnsi="Times New Roman" w:eastAsia="宋体" w:cs="Times New Roman"/>
          <w:color w:val="auto"/>
          <w:sz w:val="28"/>
          <w:szCs w:val="28"/>
          <w:u w:val="none"/>
          <w:lang w:eastAsia="zh-CN"/>
        </w:rPr>
        <w:t>》《中华人民共和国危险化学品安全法》《GB 46032-2025》及其他有关法律、法规的规定，就</w:t>
      </w:r>
      <w:r>
        <w:rPr>
          <w:rFonts w:hint="default" w:ascii="Times New Roman" w:hAnsi="Times New Roman" w:eastAsia="宋体" w:cs="Times New Roman"/>
          <w:color w:val="auto"/>
          <w:sz w:val="28"/>
          <w:szCs w:val="28"/>
          <w:u w:val="none"/>
          <w:lang w:val="en-US" w:eastAsia="zh-CN"/>
        </w:rPr>
        <w:t>药品磷化铝采购事宜，</w:t>
      </w:r>
      <w:r>
        <w:rPr>
          <w:rFonts w:hint="default" w:ascii="Times New Roman" w:hAnsi="Times New Roman" w:eastAsia="宋体" w:cs="Times New Roman"/>
          <w:color w:val="auto"/>
          <w:sz w:val="28"/>
          <w:szCs w:val="28"/>
          <w:u w:val="none"/>
          <w:lang w:eastAsia="zh-CN"/>
        </w:rPr>
        <w:t>双方经过</w:t>
      </w:r>
      <w:r>
        <w:rPr>
          <w:rFonts w:hint="default" w:ascii="Times New Roman" w:hAnsi="Times New Roman" w:eastAsia="宋体" w:cs="Times New Roman"/>
          <w:color w:val="auto"/>
          <w:sz w:val="28"/>
          <w:szCs w:val="28"/>
          <w:u w:val="none"/>
          <w:lang w:val="en-US" w:eastAsia="zh-CN"/>
        </w:rPr>
        <w:t>充分</w:t>
      </w:r>
      <w:r>
        <w:rPr>
          <w:rFonts w:hint="default" w:ascii="Times New Roman" w:hAnsi="Times New Roman" w:eastAsia="宋体" w:cs="Times New Roman"/>
          <w:color w:val="auto"/>
          <w:sz w:val="28"/>
          <w:szCs w:val="28"/>
          <w:u w:val="none"/>
          <w:lang w:eastAsia="zh-CN"/>
        </w:rPr>
        <w:t>协商，达成如下条款，以资双方共同遵守。</w:t>
      </w:r>
    </w:p>
    <w:p>
      <w:pPr>
        <w:spacing w:line="380" w:lineRule="exact"/>
        <w:ind w:firstLine="560" w:firstLineChars="200"/>
        <w:rPr>
          <w:rFonts w:hint="default" w:ascii="Times New Roman" w:hAnsi="Times New Roman" w:eastAsia="宋体" w:cs="Times New Roman"/>
          <w:color w:val="auto"/>
          <w:sz w:val="28"/>
          <w:szCs w:val="28"/>
          <w:u w:val="none"/>
        </w:rPr>
      </w:pPr>
      <w:r>
        <w:rPr>
          <w:rFonts w:hint="default" w:ascii="Times New Roman" w:hAnsi="Times New Roman" w:eastAsia="方正黑体_GBK" w:cs="Times New Roman"/>
          <w:b w:val="0"/>
          <w:bCs/>
          <w:color w:val="auto"/>
          <w:sz w:val="28"/>
          <w:szCs w:val="28"/>
          <w:u w:val="none"/>
          <w:lang w:val="en-US" w:eastAsia="zh-CN"/>
        </w:rPr>
        <w:t xml:space="preserve">第一条 </w:t>
      </w:r>
      <w:r>
        <w:rPr>
          <w:rFonts w:hint="default" w:ascii="Times New Roman" w:hAnsi="Times New Roman" w:eastAsia="方正黑体_GBK" w:cs="Times New Roman"/>
          <w:b w:val="0"/>
          <w:bCs/>
          <w:color w:val="auto"/>
          <w:sz w:val="28"/>
          <w:szCs w:val="28"/>
          <w:u w:val="none"/>
          <w:lang w:eastAsia="zh-CN"/>
        </w:rPr>
        <w:t>产品型号、规格、单价及金额</w:t>
      </w:r>
      <w:r>
        <w:rPr>
          <w:rFonts w:hint="default" w:ascii="Times New Roman" w:hAnsi="Times New Roman" w:eastAsia="宋体" w:cs="Times New Roman"/>
          <w:color w:val="auto"/>
          <w:sz w:val="28"/>
          <w:szCs w:val="28"/>
          <w:u w:val="none"/>
          <w:lang w:eastAsia="zh-CN"/>
        </w:rPr>
        <w:t xml:space="preserve">      </w:t>
      </w:r>
    </w:p>
    <w:tbl>
      <w:tblPr>
        <w:tblStyle w:val="5"/>
        <w:tblpPr w:leftFromText="180" w:rightFromText="180" w:vertAnchor="text" w:horzAnchor="page" w:tblpX="1499" w:tblpY="169"/>
        <w:tblOverlap w:val="never"/>
        <w:tblW w:w="9096" w:type="dxa"/>
        <w:tblInd w:w="0" w:type="dxa"/>
        <w:tblLayout w:type="fixed"/>
        <w:tblCellMar>
          <w:top w:w="15" w:type="dxa"/>
          <w:left w:w="15" w:type="dxa"/>
          <w:bottom w:w="15" w:type="dxa"/>
          <w:right w:w="15" w:type="dxa"/>
        </w:tblCellMar>
      </w:tblPr>
      <w:tblGrid>
        <w:gridCol w:w="1191"/>
        <w:gridCol w:w="2001"/>
        <w:gridCol w:w="1248"/>
        <w:gridCol w:w="1044"/>
        <w:gridCol w:w="897"/>
        <w:gridCol w:w="1275"/>
        <w:gridCol w:w="1440"/>
      </w:tblGrid>
      <w:tr>
        <w:tblPrEx>
          <w:tblCellMar>
            <w:top w:w="15" w:type="dxa"/>
            <w:left w:w="15" w:type="dxa"/>
            <w:bottom w:w="15" w:type="dxa"/>
            <w:right w:w="15" w:type="dxa"/>
          </w:tblCellMar>
        </w:tblPrEx>
        <w:trPr>
          <w:trHeight w:val="545" w:hRule="atLeast"/>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方正黑体_GBK" w:cs="Times New Roman"/>
                <w:color w:val="auto"/>
                <w:sz w:val="24"/>
                <w:szCs w:val="24"/>
                <w:u w:val="none"/>
              </w:rPr>
            </w:pPr>
            <w:r>
              <w:rPr>
                <w:rFonts w:hint="default" w:ascii="Times New Roman" w:hAnsi="Times New Roman" w:eastAsia="方正黑体_GBK" w:cs="Times New Roman"/>
                <w:color w:val="auto"/>
                <w:kern w:val="0"/>
                <w:sz w:val="24"/>
                <w:szCs w:val="24"/>
                <w:u w:val="none"/>
                <w:lang w:bidi="ar"/>
              </w:rPr>
              <w:t>名称</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方正黑体_GBK" w:cs="Times New Roman"/>
                <w:color w:val="auto"/>
                <w:kern w:val="0"/>
                <w:sz w:val="24"/>
                <w:szCs w:val="24"/>
                <w:u w:val="none"/>
                <w:lang w:eastAsia="zh-CN" w:bidi="ar"/>
              </w:rPr>
            </w:pPr>
            <w:r>
              <w:rPr>
                <w:rFonts w:hint="default" w:ascii="Times New Roman" w:hAnsi="Times New Roman" w:eastAsia="方正黑体_GBK" w:cs="Times New Roman"/>
                <w:color w:val="auto"/>
                <w:kern w:val="0"/>
                <w:sz w:val="24"/>
                <w:szCs w:val="24"/>
                <w:u w:val="none"/>
                <w:lang w:eastAsia="zh-CN" w:bidi="ar"/>
              </w:rPr>
              <w:t>执行标准</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方正黑体_GBK" w:cs="Times New Roman"/>
                <w:color w:val="auto"/>
                <w:sz w:val="24"/>
                <w:szCs w:val="24"/>
                <w:u w:val="none"/>
              </w:rPr>
            </w:pPr>
            <w:r>
              <w:rPr>
                <w:rFonts w:hint="default" w:ascii="Times New Roman" w:hAnsi="Times New Roman" w:eastAsia="方正黑体_GBK" w:cs="Times New Roman"/>
                <w:color w:val="auto"/>
                <w:kern w:val="0"/>
                <w:sz w:val="24"/>
                <w:szCs w:val="24"/>
                <w:u w:val="none"/>
                <w:lang w:bidi="ar"/>
              </w:rPr>
              <w:t>规格</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方正黑体_GBK" w:cs="Times New Roman"/>
                <w:color w:val="auto"/>
                <w:kern w:val="0"/>
                <w:sz w:val="24"/>
                <w:szCs w:val="24"/>
                <w:u w:val="none"/>
                <w:lang w:bidi="ar"/>
              </w:rPr>
            </w:pPr>
            <w:r>
              <w:rPr>
                <w:rFonts w:hint="default" w:ascii="Times New Roman" w:hAnsi="Times New Roman" w:eastAsia="方正黑体_GBK" w:cs="Times New Roman"/>
                <w:color w:val="auto"/>
                <w:kern w:val="0"/>
                <w:sz w:val="24"/>
                <w:szCs w:val="24"/>
                <w:u w:val="none"/>
                <w:lang w:bidi="ar"/>
              </w:rPr>
              <w:t>数量</w:t>
            </w:r>
          </w:p>
          <w:p>
            <w:pPr>
              <w:widowControl/>
              <w:spacing w:line="320" w:lineRule="exact"/>
              <w:jc w:val="center"/>
              <w:textAlignment w:val="center"/>
              <w:rPr>
                <w:rFonts w:hint="eastAsia" w:ascii="Times New Roman" w:hAnsi="Times New Roman" w:eastAsia="方正黑体_GBK" w:cs="Times New Roman"/>
                <w:color w:val="auto"/>
                <w:sz w:val="24"/>
                <w:szCs w:val="24"/>
                <w:u w:val="none"/>
                <w:lang w:eastAsia="zh-CN"/>
              </w:rPr>
            </w:pPr>
            <w:r>
              <w:rPr>
                <w:rFonts w:hint="eastAsia" w:ascii="Times New Roman" w:hAnsi="Times New Roman" w:eastAsia="方正黑体_GBK" w:cs="Times New Roman"/>
                <w:color w:val="auto"/>
                <w:kern w:val="0"/>
                <w:sz w:val="24"/>
                <w:szCs w:val="24"/>
                <w:u w:val="none"/>
                <w:lang w:eastAsia="zh-CN" w:bidi="ar"/>
              </w:rPr>
              <w:t>（</w:t>
            </w:r>
            <w:r>
              <w:rPr>
                <w:rFonts w:hint="eastAsia" w:ascii="Times New Roman" w:hAnsi="Times New Roman" w:eastAsia="方正黑体_GBK" w:cs="Times New Roman"/>
                <w:color w:val="auto"/>
                <w:kern w:val="0"/>
                <w:sz w:val="24"/>
                <w:szCs w:val="24"/>
                <w:u w:val="none"/>
                <w:lang w:val="en-US" w:eastAsia="zh-CN" w:bidi="ar"/>
              </w:rPr>
              <w:t>暂定</w:t>
            </w:r>
            <w:r>
              <w:rPr>
                <w:rFonts w:hint="eastAsia" w:ascii="Times New Roman" w:hAnsi="Times New Roman" w:eastAsia="方正黑体_GBK" w:cs="Times New Roman"/>
                <w:color w:val="auto"/>
                <w:kern w:val="0"/>
                <w:sz w:val="24"/>
                <w:szCs w:val="24"/>
                <w:u w:val="none"/>
                <w:lang w:eastAsia="zh-CN" w:bidi="ar"/>
              </w:rPr>
              <w:t>）</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方正黑体_GBK" w:cs="Times New Roman"/>
                <w:color w:val="auto"/>
                <w:sz w:val="24"/>
                <w:szCs w:val="24"/>
                <w:u w:val="none"/>
              </w:rPr>
            </w:pPr>
            <w:r>
              <w:rPr>
                <w:rFonts w:hint="default" w:ascii="Times New Roman" w:hAnsi="Times New Roman" w:eastAsia="方正黑体_GBK" w:cs="Times New Roman"/>
                <w:color w:val="auto"/>
                <w:kern w:val="0"/>
                <w:sz w:val="24"/>
                <w:szCs w:val="24"/>
                <w:u w:val="none"/>
                <w:lang w:bidi="ar"/>
              </w:rPr>
              <w:t>单位</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方正黑体_GBK" w:cs="Times New Roman"/>
                <w:color w:val="auto"/>
                <w:kern w:val="0"/>
                <w:sz w:val="24"/>
                <w:szCs w:val="24"/>
                <w:u w:val="none"/>
                <w:lang w:bidi="ar"/>
              </w:rPr>
            </w:pPr>
            <w:r>
              <w:rPr>
                <w:rFonts w:hint="default" w:ascii="Times New Roman" w:hAnsi="Times New Roman" w:eastAsia="方正黑体_GBK" w:cs="Times New Roman"/>
                <w:color w:val="auto"/>
                <w:kern w:val="0"/>
                <w:sz w:val="24"/>
                <w:szCs w:val="24"/>
                <w:u w:val="none"/>
                <w:lang w:bidi="ar"/>
              </w:rPr>
              <w:t>单价</w:t>
            </w:r>
          </w:p>
          <w:p>
            <w:pPr>
              <w:widowControl/>
              <w:spacing w:line="320" w:lineRule="exact"/>
              <w:jc w:val="center"/>
              <w:textAlignment w:val="center"/>
              <w:rPr>
                <w:rFonts w:hint="default" w:ascii="Times New Roman" w:hAnsi="Times New Roman" w:eastAsia="方正黑体_GBK" w:cs="Times New Roman"/>
                <w:color w:val="auto"/>
                <w:kern w:val="0"/>
                <w:sz w:val="24"/>
                <w:szCs w:val="24"/>
                <w:u w:val="none"/>
                <w:lang w:val="en-US" w:eastAsia="zh-CN" w:bidi="ar"/>
              </w:rPr>
            </w:pPr>
            <w:r>
              <w:rPr>
                <w:rFonts w:hint="default" w:ascii="Times New Roman" w:hAnsi="Times New Roman" w:eastAsia="方正黑体_GBK" w:cs="Times New Roman"/>
                <w:color w:val="auto"/>
                <w:kern w:val="0"/>
                <w:sz w:val="24"/>
                <w:szCs w:val="24"/>
                <w:u w:val="none"/>
                <w:lang w:val="en-US" w:eastAsia="zh-CN" w:bidi="ar"/>
              </w:rPr>
              <w:t>（元/公斤）</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方正黑体_GBK" w:cs="Times New Roman"/>
                <w:color w:val="auto"/>
                <w:kern w:val="0"/>
                <w:sz w:val="24"/>
                <w:szCs w:val="24"/>
                <w:u w:val="none"/>
                <w:lang w:bidi="ar"/>
              </w:rPr>
            </w:pPr>
            <w:r>
              <w:rPr>
                <w:rFonts w:hint="default" w:ascii="Times New Roman" w:hAnsi="Times New Roman" w:eastAsia="方正黑体_GBK" w:cs="Times New Roman"/>
                <w:color w:val="auto"/>
                <w:kern w:val="0"/>
                <w:sz w:val="24"/>
                <w:szCs w:val="24"/>
                <w:u w:val="none"/>
                <w:lang w:bidi="ar"/>
              </w:rPr>
              <w:t>金额</w:t>
            </w:r>
          </w:p>
          <w:p>
            <w:pPr>
              <w:widowControl/>
              <w:spacing w:line="320" w:lineRule="exact"/>
              <w:jc w:val="center"/>
              <w:textAlignment w:val="center"/>
              <w:rPr>
                <w:rFonts w:hint="default" w:ascii="Times New Roman" w:hAnsi="Times New Roman" w:eastAsia="方正黑体_GBK" w:cs="Times New Roman"/>
                <w:color w:val="auto"/>
                <w:kern w:val="0"/>
                <w:sz w:val="24"/>
                <w:szCs w:val="24"/>
                <w:u w:val="none"/>
                <w:lang w:eastAsia="zh-CN" w:bidi="ar"/>
              </w:rPr>
            </w:pPr>
            <w:r>
              <w:rPr>
                <w:rFonts w:hint="default" w:ascii="Times New Roman" w:hAnsi="Times New Roman" w:eastAsia="方正黑体_GBK" w:cs="Times New Roman"/>
                <w:color w:val="auto"/>
                <w:kern w:val="0"/>
                <w:sz w:val="24"/>
                <w:szCs w:val="24"/>
                <w:u w:val="none"/>
                <w:lang w:eastAsia="zh-CN" w:bidi="ar"/>
              </w:rPr>
              <w:t>（元）</w:t>
            </w:r>
          </w:p>
        </w:tc>
      </w:tr>
      <w:tr>
        <w:tblPrEx>
          <w:tblCellMar>
            <w:top w:w="15" w:type="dxa"/>
            <w:left w:w="15" w:type="dxa"/>
            <w:bottom w:w="15" w:type="dxa"/>
            <w:right w:w="15" w:type="dxa"/>
          </w:tblCellMar>
        </w:tblPrEx>
        <w:trPr>
          <w:trHeight w:val="480" w:hRule="atLeast"/>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丰收牌</w:t>
            </w:r>
          </w:p>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磷化铝</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2"/>
                <w:szCs w:val="22"/>
                <w:u w:val="none"/>
                <w:lang w:val="en-US" w:eastAsia="zh-CN" w:bidi="ar"/>
              </w:rPr>
              <w:t>GB/T5452</w:t>
            </w:r>
            <w:r>
              <w:rPr>
                <w:rFonts w:hint="default" w:ascii="Times New Roman" w:hAnsi="Times New Roman" w:cs="Times New Roman"/>
                <w:color w:val="auto"/>
                <w:kern w:val="0"/>
                <w:sz w:val="22"/>
                <w:szCs w:val="22"/>
                <w:u w:val="none"/>
                <w:lang w:val="en-US" w:eastAsia="zh-CN" w:bidi="ar"/>
              </w:rPr>
              <w:t>—</w:t>
            </w:r>
            <w:r>
              <w:rPr>
                <w:rFonts w:hint="default" w:ascii="Times New Roman" w:hAnsi="Times New Roman" w:eastAsia="宋体" w:cs="Times New Roman"/>
                <w:color w:val="auto"/>
                <w:kern w:val="0"/>
                <w:sz w:val="22"/>
                <w:szCs w:val="22"/>
                <w:u w:val="none"/>
                <w:lang w:val="en-US" w:eastAsia="zh-CN" w:bidi="ar"/>
              </w:rPr>
              <w:t>2017</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lang w:val="en-US" w:eastAsia="zh-CN" w:bidi="ar"/>
              </w:rPr>
              <w:t>纯度56%</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宋体" w:cs="Times New Roman"/>
                <w:color w:val="auto"/>
                <w:kern w:val="2"/>
                <w:sz w:val="24"/>
                <w:szCs w:val="24"/>
                <w:u w:val="none"/>
                <w:lang w:val="en-US" w:eastAsia="zh-CN" w:bidi="ar-SA"/>
              </w:rPr>
            </w:pPr>
            <w:r>
              <w:rPr>
                <w:rFonts w:hint="eastAsia" w:cs="Times New Roman"/>
                <w:color w:val="auto"/>
                <w:kern w:val="2"/>
                <w:sz w:val="24"/>
                <w:szCs w:val="24"/>
                <w:u w:val="none"/>
                <w:lang w:val="en-US" w:eastAsia="zh-CN" w:bidi="ar-SA"/>
              </w:rPr>
              <w:t>1800</w:t>
            </w:r>
          </w:p>
        </w:tc>
        <w:tc>
          <w:tcPr>
            <w:tcW w:w="897"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宋体" w:cs="Times New Roman"/>
                <w:color w:val="auto"/>
                <w:kern w:val="0"/>
                <w:sz w:val="24"/>
                <w:szCs w:val="24"/>
                <w:u w:val="none"/>
                <w:lang w:val="en-US" w:eastAsia="zh-CN" w:bidi="ar"/>
              </w:rPr>
            </w:pPr>
            <w:r>
              <w:rPr>
                <w:rFonts w:hint="default" w:ascii="Times New Roman" w:hAnsi="Times New Roman" w:eastAsia="宋体" w:cs="Times New Roman"/>
                <w:color w:val="auto"/>
                <w:kern w:val="0"/>
                <w:sz w:val="24"/>
                <w:szCs w:val="24"/>
                <w:u w:val="none"/>
                <w:lang w:val="en-US" w:eastAsia="zh-CN" w:bidi="ar"/>
              </w:rPr>
              <w:t>公斤</w:t>
            </w:r>
          </w:p>
        </w:tc>
        <w:tc>
          <w:tcPr>
            <w:tcW w:w="1275" w:type="dxa"/>
            <w:tcBorders>
              <w:top w:val="single" w:color="000000" w:sz="4" w:space="0"/>
              <w:left w:val="single" w:color="auto"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宋体" w:cs="Times New Roman"/>
                <w:color w:val="auto"/>
                <w:kern w:val="0"/>
                <w:sz w:val="24"/>
                <w:szCs w:val="24"/>
                <w:u w:val="none"/>
                <w:lang w:val="en-US" w:eastAsia="zh-CN" w:bidi="ar"/>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宋体" w:cs="Times New Roman"/>
                <w:color w:val="auto"/>
                <w:kern w:val="2"/>
                <w:sz w:val="24"/>
                <w:szCs w:val="24"/>
                <w:u w:val="none"/>
                <w:lang w:val="en-US" w:eastAsia="zh-CN" w:bidi="ar-SA"/>
              </w:rPr>
            </w:pPr>
          </w:p>
        </w:tc>
      </w:tr>
      <w:tr>
        <w:tblPrEx>
          <w:tblCellMar>
            <w:top w:w="15" w:type="dxa"/>
            <w:left w:w="15" w:type="dxa"/>
            <w:bottom w:w="15" w:type="dxa"/>
            <w:right w:w="15" w:type="dxa"/>
          </w:tblCellMar>
        </w:tblPrEx>
        <w:trPr>
          <w:trHeight w:val="389" w:hRule="atLeast"/>
        </w:trPr>
        <w:tc>
          <w:tcPr>
            <w:tcW w:w="119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宋体" w:cs="Times New Roman"/>
                <w:color w:val="auto"/>
                <w:sz w:val="24"/>
                <w:szCs w:val="24"/>
                <w:u w:val="none"/>
              </w:rPr>
            </w:pPr>
            <w:r>
              <w:rPr>
                <w:rFonts w:hint="default" w:ascii="Times New Roman" w:hAnsi="Times New Roman" w:eastAsia="宋体" w:cs="Times New Roman"/>
                <w:color w:val="auto"/>
                <w:kern w:val="0"/>
                <w:sz w:val="24"/>
                <w:szCs w:val="24"/>
                <w:u w:val="none"/>
                <w:lang w:bidi="ar"/>
              </w:rPr>
              <w:t>合计</w:t>
            </w:r>
          </w:p>
        </w:tc>
        <w:tc>
          <w:tcPr>
            <w:tcW w:w="5190"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spacing w:line="320" w:lineRule="exact"/>
              <w:jc w:val="center"/>
              <w:textAlignment w:val="center"/>
              <w:rPr>
                <w:rFonts w:hint="default" w:ascii="Times New Roman" w:hAnsi="Times New Roman" w:eastAsia="宋体" w:cs="Times New Roman"/>
                <w:color w:val="auto"/>
                <w:sz w:val="24"/>
                <w:szCs w:val="24"/>
                <w:u w:val="none"/>
                <w:lang w:val="en-US"/>
              </w:rPr>
            </w:pPr>
            <w:r>
              <w:rPr>
                <w:rFonts w:hint="default" w:ascii="Times New Roman" w:hAnsi="Times New Roman" w:eastAsia="宋体" w:cs="Times New Roman"/>
                <w:color w:val="auto"/>
                <w:kern w:val="0"/>
                <w:sz w:val="24"/>
                <w:szCs w:val="24"/>
                <w:u w:val="none"/>
                <w:lang w:bidi="ar"/>
              </w:rPr>
              <w:t>（</w:t>
            </w:r>
            <w:r>
              <w:rPr>
                <w:rFonts w:hint="default" w:ascii="Times New Roman" w:hAnsi="Times New Roman" w:eastAsia="宋体" w:cs="Times New Roman"/>
                <w:color w:val="auto"/>
                <w:kern w:val="0"/>
                <w:sz w:val="24"/>
                <w:szCs w:val="24"/>
                <w:u w:val="none"/>
                <w:lang w:eastAsia="zh-CN" w:bidi="ar"/>
              </w:rPr>
              <w:t>人民币</w:t>
            </w:r>
            <w:r>
              <w:rPr>
                <w:rFonts w:hint="default" w:ascii="Times New Roman" w:hAnsi="Times New Roman" w:eastAsia="宋体" w:cs="Times New Roman"/>
                <w:color w:val="auto"/>
                <w:kern w:val="0"/>
                <w:sz w:val="24"/>
                <w:szCs w:val="24"/>
                <w:u w:val="none"/>
                <w:lang w:bidi="ar"/>
              </w:rPr>
              <w:t>大写）：</w:t>
            </w:r>
            <w:r>
              <w:rPr>
                <w:rFonts w:hint="eastAsia" w:eastAsia="宋体" w:cs="Times New Roman"/>
                <w:color w:val="auto"/>
                <w:kern w:val="0"/>
                <w:sz w:val="24"/>
                <w:szCs w:val="24"/>
                <w:u w:val="none"/>
                <w:lang w:val="en-US" w:eastAsia="zh-CN" w:bidi="ar"/>
              </w:rPr>
              <w:t xml:space="preserve">  </w:t>
            </w:r>
            <w:r>
              <w:rPr>
                <w:rFonts w:hint="default" w:ascii="Times New Roman" w:hAnsi="Times New Roman" w:eastAsia="宋体" w:cs="Times New Roman"/>
                <w:color w:val="auto"/>
                <w:kern w:val="0"/>
                <w:sz w:val="24"/>
                <w:szCs w:val="24"/>
                <w:u w:val="none"/>
                <w:lang w:eastAsia="zh-CN" w:bidi="ar"/>
              </w:rPr>
              <w:t>万</w:t>
            </w:r>
            <w:r>
              <w:rPr>
                <w:rFonts w:hint="eastAsia" w:eastAsia="宋体" w:cs="Times New Roman"/>
                <w:color w:val="auto"/>
                <w:kern w:val="0"/>
                <w:sz w:val="24"/>
                <w:szCs w:val="24"/>
                <w:u w:val="none"/>
                <w:lang w:val="en-US" w:eastAsia="zh-CN" w:bidi="ar"/>
              </w:rPr>
              <w:t xml:space="preserve">  </w:t>
            </w:r>
            <w:r>
              <w:rPr>
                <w:rFonts w:hint="default" w:ascii="Times New Roman" w:hAnsi="Times New Roman" w:eastAsia="宋体" w:cs="Times New Roman"/>
                <w:color w:val="auto"/>
                <w:kern w:val="0"/>
                <w:sz w:val="24"/>
                <w:szCs w:val="24"/>
                <w:u w:val="none"/>
                <w:lang w:eastAsia="zh-CN" w:bidi="ar"/>
              </w:rPr>
              <w:t>仟</w:t>
            </w:r>
            <w:r>
              <w:rPr>
                <w:rFonts w:hint="eastAsia" w:eastAsia="宋体" w:cs="Times New Roman"/>
                <w:color w:val="auto"/>
                <w:kern w:val="0"/>
                <w:sz w:val="24"/>
                <w:szCs w:val="24"/>
                <w:u w:val="none"/>
                <w:lang w:val="en-US" w:eastAsia="zh-CN" w:bidi="ar"/>
              </w:rPr>
              <w:t xml:space="preserve">  </w:t>
            </w:r>
            <w:r>
              <w:rPr>
                <w:rFonts w:hint="eastAsia" w:ascii="Times New Roman" w:hAnsi="Times New Roman" w:eastAsia="宋体" w:cs="Times New Roman"/>
                <w:color w:val="auto"/>
                <w:kern w:val="0"/>
                <w:sz w:val="24"/>
                <w:szCs w:val="24"/>
                <w:u w:val="none"/>
                <w:lang w:val="en-US" w:eastAsia="zh-CN" w:bidi="ar"/>
              </w:rPr>
              <w:t>佰</w:t>
            </w:r>
            <w:r>
              <w:rPr>
                <w:rFonts w:hint="eastAsia" w:eastAsia="宋体" w:cs="Times New Roman"/>
                <w:color w:val="auto"/>
                <w:kern w:val="0"/>
                <w:sz w:val="24"/>
                <w:szCs w:val="24"/>
                <w:u w:val="none"/>
                <w:lang w:val="en-US" w:eastAsia="zh-CN" w:bidi="ar"/>
              </w:rPr>
              <w:t xml:space="preserve">  </w:t>
            </w:r>
            <w:r>
              <w:rPr>
                <w:rFonts w:hint="default" w:ascii="Times New Roman" w:hAnsi="Times New Roman" w:eastAsia="宋体" w:cs="Times New Roman"/>
                <w:color w:val="auto"/>
                <w:kern w:val="0"/>
                <w:sz w:val="24"/>
                <w:szCs w:val="24"/>
                <w:u w:val="none"/>
                <w:lang w:eastAsia="zh-CN" w:bidi="ar"/>
              </w:rPr>
              <w:t>拾</w:t>
            </w:r>
            <w:r>
              <w:rPr>
                <w:rFonts w:hint="eastAsia" w:eastAsia="宋体" w:cs="Times New Roman"/>
                <w:color w:val="auto"/>
                <w:kern w:val="0"/>
                <w:sz w:val="24"/>
                <w:szCs w:val="24"/>
                <w:u w:val="none"/>
                <w:lang w:val="en-US" w:eastAsia="zh-CN" w:bidi="ar"/>
              </w:rPr>
              <w:t xml:space="preserve"> </w:t>
            </w:r>
            <w:r>
              <w:rPr>
                <w:rFonts w:hint="default" w:ascii="Times New Roman" w:hAnsi="Times New Roman" w:eastAsia="宋体" w:cs="Times New Roman"/>
                <w:color w:val="auto"/>
                <w:kern w:val="0"/>
                <w:sz w:val="24"/>
                <w:szCs w:val="24"/>
                <w:u w:val="none"/>
                <w:lang w:eastAsia="zh-CN" w:bidi="ar"/>
              </w:rPr>
              <w:t>元</w:t>
            </w:r>
            <w:r>
              <w:rPr>
                <w:rFonts w:hint="eastAsia" w:ascii="Times New Roman" w:hAnsi="Times New Roman" w:eastAsia="宋体" w:cs="Times New Roman"/>
                <w:color w:val="auto"/>
                <w:kern w:val="0"/>
                <w:sz w:val="24"/>
                <w:szCs w:val="24"/>
                <w:u w:val="none"/>
                <w:lang w:val="en-US" w:eastAsia="zh-CN" w:bidi="ar"/>
              </w:rPr>
              <w:t>整</w:t>
            </w:r>
          </w:p>
        </w:tc>
        <w:tc>
          <w:tcPr>
            <w:tcW w:w="2715"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20" w:lineRule="exact"/>
              <w:jc w:val="center"/>
              <w:textAlignment w:val="center"/>
              <w:rPr>
                <w:rFonts w:hint="default" w:ascii="Times New Roman" w:hAnsi="Times New Roman" w:eastAsia="宋体" w:cs="Times New Roman"/>
                <w:color w:val="auto"/>
                <w:kern w:val="0"/>
                <w:sz w:val="24"/>
                <w:szCs w:val="24"/>
                <w:u w:val="none"/>
                <w:lang w:bidi="ar"/>
              </w:rPr>
            </w:pPr>
            <w:r>
              <w:rPr>
                <w:rFonts w:hint="default" w:ascii="Times New Roman" w:hAnsi="Times New Roman" w:eastAsia="宋体" w:cs="Times New Roman"/>
                <w:color w:val="auto"/>
                <w:kern w:val="0"/>
                <w:sz w:val="24"/>
                <w:szCs w:val="24"/>
                <w:u w:val="none"/>
                <w:lang w:bidi="ar"/>
              </w:rPr>
              <w:t>（小写）：元</w:t>
            </w:r>
          </w:p>
        </w:tc>
      </w:tr>
      <w:tr>
        <w:tblPrEx>
          <w:tblCellMar>
            <w:top w:w="15" w:type="dxa"/>
            <w:left w:w="15" w:type="dxa"/>
            <w:bottom w:w="15" w:type="dxa"/>
            <w:right w:w="15" w:type="dxa"/>
          </w:tblCellMar>
        </w:tblPrEx>
        <w:trPr>
          <w:trHeight w:val="389" w:hRule="atLeast"/>
        </w:trPr>
        <w:tc>
          <w:tcPr>
            <w:tcW w:w="9096"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460" w:lineRule="exact"/>
              <w:jc w:val="both"/>
              <w:textAlignment w:val="center"/>
              <w:rPr>
                <w:rFonts w:hint="default" w:ascii="Times New Roman" w:hAnsi="Times New Roman" w:eastAsia="宋体" w:cs="Times New Roman"/>
                <w:color w:val="auto"/>
                <w:kern w:val="0"/>
                <w:sz w:val="24"/>
                <w:szCs w:val="24"/>
                <w:u w:val="none"/>
                <w:lang w:val="en-US" w:eastAsia="zh-CN" w:bidi="ar"/>
              </w:rPr>
            </w:pPr>
            <w:r>
              <w:rPr>
                <w:rFonts w:hint="eastAsia" w:ascii="Times New Roman" w:hAnsi="Times New Roman" w:eastAsia="宋体" w:cs="Times New Roman"/>
                <w:color w:val="auto"/>
                <w:kern w:val="0"/>
                <w:sz w:val="24"/>
                <w:szCs w:val="24"/>
                <w:u w:val="none"/>
                <w:lang w:val="en-US" w:eastAsia="zh-CN" w:bidi="ar"/>
              </w:rPr>
              <w:t>注：本合同金额为暂定金额，最终发货数量以需方通知为准，价格执行合同单价。</w:t>
            </w:r>
          </w:p>
        </w:tc>
      </w:tr>
    </w:tbl>
    <w:p>
      <w:pPr>
        <w:spacing w:line="380" w:lineRule="exact"/>
        <w:ind w:firstLine="560" w:firstLineChars="200"/>
        <w:rPr>
          <w:rFonts w:hint="default" w:ascii="Times New Roman" w:hAnsi="Times New Roman" w:eastAsia="宋体" w:cs="Times New Roman"/>
          <w:color w:val="auto"/>
          <w:sz w:val="28"/>
          <w:szCs w:val="28"/>
          <w:u w:val="none"/>
          <w:lang w:eastAsia="zh-CN"/>
        </w:rPr>
      </w:pPr>
      <w:r>
        <w:rPr>
          <w:rFonts w:hint="eastAsia" w:cs="Times New Roman"/>
          <w:color w:val="auto"/>
          <w:sz w:val="28"/>
          <w:szCs w:val="28"/>
          <w:u w:val="none"/>
          <w:lang w:val="en-US" w:eastAsia="zh-CN"/>
        </w:rPr>
        <w:t>1.</w:t>
      </w:r>
      <w:r>
        <w:rPr>
          <w:rFonts w:hint="default" w:ascii="Times New Roman" w:hAnsi="Times New Roman" w:eastAsia="宋体" w:cs="Times New Roman"/>
          <w:color w:val="auto"/>
          <w:sz w:val="28"/>
          <w:szCs w:val="28"/>
          <w:u w:val="none"/>
          <w:lang w:eastAsia="zh-CN"/>
        </w:rPr>
        <w:t>具体数量以每次供货到甲方</w:t>
      </w:r>
      <w:r>
        <w:rPr>
          <w:rFonts w:hint="eastAsia" w:eastAsia="宋体" w:cs="Times New Roman"/>
          <w:color w:val="auto"/>
          <w:sz w:val="28"/>
          <w:szCs w:val="28"/>
          <w:u w:val="none"/>
          <w:lang w:val="en-US" w:eastAsia="zh-CN"/>
        </w:rPr>
        <w:t>仓库</w:t>
      </w:r>
      <w:r>
        <w:rPr>
          <w:rFonts w:hint="default" w:ascii="Times New Roman" w:hAnsi="Times New Roman" w:eastAsia="宋体" w:cs="Times New Roman"/>
          <w:color w:val="auto"/>
          <w:sz w:val="28"/>
          <w:szCs w:val="28"/>
          <w:u w:val="none"/>
          <w:lang w:eastAsia="zh-CN"/>
        </w:rPr>
        <w:t>，甲乙双方清点</w:t>
      </w:r>
      <w:r>
        <w:rPr>
          <w:rFonts w:hint="default" w:ascii="Times New Roman" w:hAnsi="Times New Roman" w:eastAsia="宋体" w:cs="Times New Roman"/>
          <w:color w:val="auto"/>
          <w:sz w:val="28"/>
          <w:szCs w:val="28"/>
          <w:u w:val="none"/>
          <w:lang w:val="en-US" w:eastAsia="zh-CN"/>
        </w:rPr>
        <w:t>数量</w:t>
      </w:r>
      <w:r>
        <w:rPr>
          <w:rFonts w:hint="default" w:ascii="Times New Roman" w:hAnsi="Times New Roman" w:eastAsia="宋体" w:cs="Times New Roman"/>
          <w:color w:val="auto"/>
          <w:sz w:val="28"/>
          <w:szCs w:val="28"/>
          <w:u w:val="none"/>
          <w:lang w:eastAsia="zh-CN"/>
        </w:rPr>
        <w:t>为准。</w:t>
      </w:r>
    </w:p>
    <w:p>
      <w:pPr>
        <w:spacing w:line="380" w:lineRule="exact"/>
        <w:ind w:firstLine="560" w:firstLineChars="200"/>
        <w:rPr>
          <w:rFonts w:hint="default" w:ascii="Times New Roman" w:hAnsi="Times New Roman" w:eastAsia="方正黑体_GBK" w:cs="Times New Roman"/>
          <w:b w:val="0"/>
          <w:bCs/>
          <w:color w:val="auto"/>
          <w:sz w:val="28"/>
          <w:szCs w:val="28"/>
          <w:u w:val="none"/>
        </w:rPr>
      </w:pPr>
      <w:r>
        <w:rPr>
          <w:rFonts w:hint="eastAsia" w:ascii="Times New Roman" w:hAnsi="Times New Roman" w:cs="Times New Roman"/>
          <w:color w:val="auto"/>
          <w:sz w:val="28"/>
          <w:szCs w:val="28"/>
          <w:u w:val="none"/>
          <w:lang w:val="en-US" w:eastAsia="zh-CN"/>
        </w:rPr>
        <w:t>2.</w:t>
      </w:r>
      <w:r>
        <w:rPr>
          <w:rFonts w:hint="default" w:ascii="Times New Roman" w:hAnsi="Times New Roman" w:eastAsia="宋体" w:cs="Times New Roman"/>
          <w:color w:val="auto"/>
          <w:sz w:val="28"/>
          <w:szCs w:val="28"/>
          <w:u w:val="none"/>
          <w:lang w:val="en-US" w:eastAsia="zh-CN"/>
        </w:rPr>
        <w:t>磷化铝单</w:t>
      </w:r>
      <w:r>
        <w:rPr>
          <w:rFonts w:hint="default" w:ascii="Times New Roman" w:hAnsi="Times New Roman" w:eastAsia="宋体" w:cs="Times New Roman"/>
          <w:color w:val="auto"/>
          <w:sz w:val="28"/>
          <w:szCs w:val="28"/>
          <w:u w:val="none"/>
          <w:lang w:eastAsia="zh-CN"/>
        </w:rPr>
        <w:t>价包括但不限</w:t>
      </w:r>
      <w:r>
        <w:rPr>
          <w:rFonts w:hint="default" w:ascii="宋体" w:hAnsi="宋体" w:eastAsia="宋体" w:cs="宋体"/>
          <w:kern w:val="0"/>
          <w:sz w:val="28"/>
          <w:szCs w:val="28"/>
          <w:lang w:val="en-US" w:eastAsia="zh-CN" w:bidi="ar"/>
        </w:rPr>
        <w:t>于乙方提供磷化铝的运费</w:t>
      </w:r>
      <w:r>
        <w:rPr>
          <w:rFonts w:hint="eastAsia" w:ascii="宋体" w:hAnsi="宋体" w:eastAsia="宋体" w:cs="宋体"/>
          <w:kern w:val="0"/>
          <w:sz w:val="28"/>
          <w:szCs w:val="28"/>
          <w:lang w:val="en-US" w:eastAsia="zh-CN" w:bidi="ar"/>
        </w:rPr>
        <w:t>（必须由具有化学药剂运送资质的专车运输）</w:t>
      </w:r>
      <w:r>
        <w:rPr>
          <w:rFonts w:hint="default" w:ascii="宋体" w:hAnsi="宋体" w:eastAsia="宋体" w:cs="宋体"/>
          <w:kern w:val="0"/>
          <w:sz w:val="28"/>
          <w:szCs w:val="28"/>
          <w:lang w:val="en-US" w:eastAsia="zh-CN" w:bidi="ar"/>
        </w:rPr>
        <w:t>、上下车装</w:t>
      </w:r>
      <w:r>
        <w:rPr>
          <w:rFonts w:hint="default" w:ascii="Times New Roman" w:hAnsi="Times New Roman" w:eastAsia="宋体" w:cs="Times New Roman"/>
          <w:color w:val="auto"/>
          <w:sz w:val="28"/>
          <w:szCs w:val="28"/>
          <w:u w:val="none"/>
          <w:lang w:eastAsia="zh-CN"/>
        </w:rPr>
        <w:t>卸费、</w:t>
      </w:r>
      <w:r>
        <w:rPr>
          <w:rFonts w:hint="default" w:ascii="Times New Roman" w:hAnsi="Times New Roman" w:eastAsia="宋体" w:cs="Times New Roman"/>
          <w:color w:val="auto"/>
          <w:sz w:val="28"/>
          <w:szCs w:val="28"/>
          <w:u w:val="none"/>
          <w:lang w:val="en-US" w:eastAsia="zh-CN"/>
        </w:rPr>
        <w:t>搬运费</w:t>
      </w:r>
      <w:r>
        <w:rPr>
          <w:rFonts w:hint="default" w:ascii="Times New Roman" w:hAnsi="Times New Roman" w:eastAsia="宋体" w:cs="Times New Roman"/>
          <w:color w:val="auto"/>
          <w:sz w:val="28"/>
          <w:szCs w:val="28"/>
          <w:u w:val="none"/>
          <w:lang w:eastAsia="zh-CN"/>
        </w:rPr>
        <w:t>、各种措施费、风险费、保险、</w:t>
      </w:r>
      <w:r>
        <w:rPr>
          <w:rFonts w:hint="default" w:ascii="Times New Roman" w:hAnsi="Times New Roman" w:eastAsia="宋体" w:cs="Times New Roman"/>
          <w:color w:val="auto"/>
          <w:sz w:val="28"/>
          <w:szCs w:val="28"/>
          <w:u w:val="none"/>
          <w:lang w:val="en-US" w:eastAsia="zh-CN"/>
        </w:rPr>
        <w:t>全过程</w:t>
      </w:r>
      <w:r>
        <w:rPr>
          <w:rFonts w:hint="default" w:ascii="Times New Roman" w:hAnsi="Times New Roman" w:eastAsia="宋体" w:cs="Times New Roman"/>
          <w:color w:val="auto"/>
          <w:sz w:val="28"/>
          <w:szCs w:val="28"/>
          <w:u w:val="none"/>
          <w:lang w:eastAsia="zh-CN"/>
        </w:rPr>
        <w:t>安全费等完成工作所需一切费用、合理利润及相关税费。</w:t>
      </w:r>
      <w:r>
        <w:rPr>
          <w:rFonts w:hint="default" w:ascii="Times New Roman" w:hAnsi="Times New Roman" w:eastAsia="宋体" w:cs="Times New Roman"/>
          <w:color w:val="auto"/>
          <w:sz w:val="28"/>
          <w:szCs w:val="28"/>
          <w:u w:val="none"/>
          <w:lang w:val="en-US" w:eastAsia="zh-CN"/>
        </w:rPr>
        <w:t>乙方确认报价和签约时已充分论证和考虑履行本合同的难度和风险，即结算时合同所约定单价不作任何调整</w:t>
      </w:r>
      <w:r>
        <w:rPr>
          <w:rFonts w:hint="default" w:ascii="Times New Roman" w:hAnsi="Times New Roman" w:eastAsia="宋体" w:cs="Times New Roman"/>
          <w:color w:val="auto"/>
          <w:sz w:val="28"/>
          <w:szCs w:val="28"/>
          <w:u w:val="none"/>
          <w:lang w:eastAsia="zh-CN"/>
        </w:rPr>
        <w:t>。</w:t>
      </w:r>
    </w:p>
    <w:p>
      <w:pPr>
        <w:spacing w:line="380" w:lineRule="exact"/>
        <w:ind w:firstLine="560" w:firstLineChars="200"/>
        <w:rPr>
          <w:rFonts w:hint="default" w:ascii="Times New Roman" w:hAnsi="Times New Roman" w:eastAsia="宋体" w:cs="Times New Roman"/>
          <w:color w:val="auto"/>
          <w:sz w:val="28"/>
          <w:szCs w:val="28"/>
          <w:u w:val="none"/>
        </w:rPr>
      </w:pPr>
      <w:r>
        <w:rPr>
          <w:rFonts w:hint="default" w:ascii="Times New Roman" w:hAnsi="Times New Roman" w:eastAsia="方正黑体_GBK" w:cs="Times New Roman"/>
          <w:b w:val="0"/>
          <w:bCs/>
          <w:color w:val="auto"/>
          <w:sz w:val="28"/>
          <w:szCs w:val="28"/>
          <w:u w:val="none"/>
          <w:lang w:val="en-US" w:eastAsia="zh-CN"/>
        </w:rPr>
        <w:t xml:space="preserve">第二条 </w:t>
      </w:r>
      <w:r>
        <w:rPr>
          <w:rFonts w:hint="default" w:ascii="Times New Roman" w:hAnsi="Times New Roman" w:eastAsia="方正黑体_GBK" w:cs="Times New Roman"/>
          <w:b w:val="0"/>
          <w:bCs/>
          <w:color w:val="auto"/>
          <w:sz w:val="28"/>
          <w:szCs w:val="28"/>
          <w:u w:val="none"/>
        </w:rPr>
        <w:t>交提货时间及数量</w:t>
      </w:r>
    </w:p>
    <w:p>
      <w:pPr>
        <w:spacing w:line="380" w:lineRule="exact"/>
        <w:ind w:firstLine="560" w:firstLineChars="200"/>
        <w:rPr>
          <w:rFonts w:hint="default" w:ascii="Times New Roman" w:hAnsi="Times New Roman" w:eastAsia="宋体" w:cs="Times New Roman"/>
          <w:color w:val="auto"/>
          <w:sz w:val="28"/>
          <w:szCs w:val="28"/>
          <w:u w:val="none"/>
        </w:rPr>
      </w:pPr>
      <w:r>
        <w:rPr>
          <w:rFonts w:hint="default" w:ascii="Times New Roman" w:hAnsi="Times New Roman" w:eastAsia="宋体" w:cs="Times New Roman"/>
          <w:color w:val="auto"/>
          <w:sz w:val="28"/>
          <w:szCs w:val="28"/>
          <w:u w:val="none"/>
          <w:lang w:val="en-US" w:eastAsia="zh-CN"/>
        </w:rPr>
        <w:t>乙方按照甲方磷化铝需求分批次供货交付甲方</w:t>
      </w:r>
      <w:r>
        <w:rPr>
          <w:rFonts w:hint="eastAsia" w:ascii="Times New Roman" w:hAnsi="Times New Roman" w:eastAsia="宋体" w:cs="Times New Roman"/>
          <w:color w:val="auto"/>
          <w:sz w:val="28"/>
          <w:szCs w:val="28"/>
          <w:u w:val="none"/>
          <w:lang w:val="en-US" w:eastAsia="zh-CN"/>
        </w:rPr>
        <w:t>（以需方通知为准）</w:t>
      </w:r>
      <w:r>
        <w:rPr>
          <w:rFonts w:hint="default" w:ascii="Times New Roman" w:hAnsi="Times New Roman" w:eastAsia="宋体" w:cs="Times New Roman"/>
          <w:color w:val="auto"/>
          <w:sz w:val="28"/>
          <w:szCs w:val="28"/>
          <w:u w:val="none"/>
          <w:lang w:val="en-US" w:eastAsia="zh-CN"/>
        </w:rPr>
        <w:t>，分批次结算。交货时间：由甲方在7个工作日前告知备货，双方明确具体交货时间（微信、短信、QQ邮件等形式均可）。注</w:t>
      </w:r>
      <w:r>
        <w:rPr>
          <w:rFonts w:hint="eastAsia"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color w:val="auto"/>
          <w:sz w:val="28"/>
          <w:szCs w:val="28"/>
          <w:u w:val="none"/>
          <w:lang w:val="en-US" w:eastAsia="zh-CN"/>
        </w:rPr>
        <w:t>请及时告知发货信息</w:t>
      </w:r>
      <w:r>
        <w:rPr>
          <w:rFonts w:hint="eastAsia"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color w:val="auto"/>
          <w:sz w:val="28"/>
          <w:szCs w:val="28"/>
          <w:u w:val="none"/>
          <w:lang w:val="en-US" w:eastAsia="zh-CN"/>
        </w:rPr>
        <w:t>发货时间、发货件数、发货重量、投保方式等</w:t>
      </w:r>
      <w:r>
        <w:rPr>
          <w:rFonts w:hint="eastAsia"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color w:val="auto"/>
          <w:sz w:val="28"/>
          <w:szCs w:val="28"/>
          <w:u w:val="none"/>
          <w:lang w:val="en-US" w:eastAsia="zh-CN"/>
        </w:rPr>
        <w:t>。</w:t>
      </w:r>
      <w:r>
        <w:rPr>
          <w:rFonts w:hint="default" w:ascii="Times New Roman" w:hAnsi="Times New Roman" w:eastAsia="宋体" w:cs="Times New Roman"/>
          <w:color w:val="auto"/>
          <w:sz w:val="28"/>
          <w:szCs w:val="28"/>
          <w:u w:val="none"/>
        </w:rPr>
        <w:t xml:space="preserve">                                                                                   </w:t>
      </w:r>
    </w:p>
    <w:p>
      <w:pPr>
        <w:spacing w:line="380" w:lineRule="exact"/>
        <w:ind w:firstLine="560" w:firstLineChars="200"/>
        <w:rPr>
          <w:rFonts w:hint="default" w:ascii="Times New Roman" w:hAnsi="Times New Roman" w:eastAsia="方正黑体_GBK" w:cs="Times New Roman"/>
          <w:b w:val="0"/>
          <w:bCs/>
          <w:color w:val="auto"/>
          <w:sz w:val="28"/>
          <w:szCs w:val="28"/>
          <w:u w:val="none"/>
        </w:rPr>
      </w:pPr>
      <w:r>
        <w:rPr>
          <w:rFonts w:hint="default" w:ascii="Times New Roman" w:hAnsi="Times New Roman" w:eastAsia="方正黑体_GBK" w:cs="Times New Roman"/>
          <w:b w:val="0"/>
          <w:bCs/>
          <w:color w:val="auto"/>
          <w:sz w:val="28"/>
          <w:szCs w:val="28"/>
          <w:u w:val="none"/>
          <w:lang w:val="en-US" w:eastAsia="zh-CN"/>
        </w:rPr>
        <w:t xml:space="preserve">第三条 </w:t>
      </w:r>
      <w:r>
        <w:rPr>
          <w:rFonts w:hint="default" w:ascii="Times New Roman" w:hAnsi="Times New Roman" w:eastAsia="方正黑体_GBK" w:cs="Times New Roman"/>
          <w:b w:val="0"/>
          <w:bCs/>
          <w:color w:val="auto"/>
          <w:sz w:val="28"/>
          <w:szCs w:val="28"/>
          <w:u w:val="none"/>
        </w:rPr>
        <w:t>交（提）货方式</w:t>
      </w:r>
    </w:p>
    <w:p>
      <w:pPr>
        <w:numPr>
          <w:ilvl w:val="-1"/>
          <w:numId w:val="0"/>
        </w:numPr>
        <w:spacing w:line="420" w:lineRule="exact"/>
        <w:ind w:firstLine="560" w:firstLineChars="200"/>
        <w:rPr>
          <w:rFonts w:hint="default" w:ascii="宋体" w:hAnsi="宋体" w:eastAsia="宋体" w:cs="宋体"/>
          <w:kern w:val="0"/>
          <w:sz w:val="28"/>
          <w:szCs w:val="28"/>
          <w:lang w:val="en-US" w:eastAsia="zh-CN" w:bidi="ar"/>
        </w:rPr>
      </w:pPr>
      <w:r>
        <w:rPr>
          <w:rFonts w:hint="eastAsia" w:cs="Times New Roman"/>
          <w:color w:val="auto"/>
          <w:sz w:val="28"/>
          <w:szCs w:val="28"/>
          <w:u w:val="none"/>
          <w:lang w:val="en-US" w:eastAsia="zh-CN"/>
        </w:rPr>
        <w:t>1.</w:t>
      </w:r>
      <w:r>
        <w:rPr>
          <w:rFonts w:hint="default" w:ascii="Times New Roman" w:hAnsi="Times New Roman" w:eastAsia="宋体" w:cs="Times New Roman"/>
          <w:color w:val="auto"/>
          <w:sz w:val="28"/>
          <w:szCs w:val="28"/>
          <w:u w:val="none"/>
          <w:lang w:val="en-US" w:eastAsia="zh-CN"/>
        </w:rPr>
        <w:t>乙方</w:t>
      </w:r>
      <w:r>
        <w:rPr>
          <w:rFonts w:hint="eastAsia" w:ascii="宋体" w:hAnsi="宋体" w:eastAsia="宋体" w:cs="宋体"/>
          <w:kern w:val="0"/>
          <w:sz w:val="28"/>
          <w:szCs w:val="28"/>
          <w:lang w:val="en-US" w:eastAsia="zh-CN" w:bidi="ar"/>
        </w:rPr>
        <w:t>应严格遵守国家有关法律法规，</w:t>
      </w:r>
      <w:r>
        <w:rPr>
          <w:rFonts w:hint="default" w:ascii="宋体" w:hAnsi="宋体" w:eastAsia="宋体" w:cs="宋体"/>
          <w:kern w:val="0"/>
          <w:sz w:val="28"/>
          <w:szCs w:val="28"/>
          <w:lang w:val="en-US" w:eastAsia="zh-CN" w:bidi="ar"/>
        </w:rPr>
        <w:t>负责</w:t>
      </w:r>
      <w:r>
        <w:rPr>
          <w:rFonts w:hint="eastAsia" w:ascii="宋体" w:hAnsi="宋体" w:eastAsia="宋体" w:cs="宋体"/>
          <w:kern w:val="0"/>
          <w:sz w:val="28"/>
          <w:szCs w:val="28"/>
          <w:lang w:val="en-US" w:eastAsia="zh-CN" w:bidi="ar"/>
        </w:rPr>
        <w:t>安排具有化学药剂运送资质的专车</w:t>
      </w:r>
      <w:r>
        <w:rPr>
          <w:rFonts w:hint="default" w:ascii="宋体" w:hAnsi="宋体" w:eastAsia="宋体" w:cs="宋体"/>
          <w:kern w:val="0"/>
          <w:sz w:val="28"/>
          <w:szCs w:val="28"/>
          <w:lang w:val="en-US" w:eastAsia="zh-CN" w:bidi="ar"/>
        </w:rPr>
        <w:t>按时将磷化铝运输到甲方梁平储备库。磷化铝交付前所发生的所有费用和风险由乙方全部承担（包括磷化铝数量、质量及安全，运输全过程安全、空车返回所有安全等）。甲方为乙方置备人员卸货，其下车费用由乙方承担。</w:t>
      </w:r>
    </w:p>
    <w:p>
      <w:pPr>
        <w:numPr>
          <w:ilvl w:val="-1"/>
          <w:numId w:val="0"/>
        </w:numPr>
        <w:spacing w:line="420" w:lineRule="exact"/>
        <w:ind w:firstLine="560" w:firstLineChars="200"/>
        <w:rPr>
          <w:rFonts w:hint="default" w:ascii="Times New Roman" w:hAnsi="Times New Roman" w:eastAsia="宋体" w:cs="Times New Roman"/>
          <w:color w:val="auto"/>
          <w:sz w:val="28"/>
          <w:szCs w:val="28"/>
          <w:u w:val="none"/>
        </w:rPr>
      </w:pPr>
      <w:r>
        <w:rPr>
          <w:rFonts w:hint="eastAsia" w:ascii="宋体" w:hAnsi="宋体" w:eastAsia="宋体" w:cs="宋体"/>
          <w:kern w:val="0"/>
          <w:sz w:val="28"/>
          <w:szCs w:val="28"/>
          <w:lang w:val="en-US" w:eastAsia="zh-CN" w:bidi="ar"/>
        </w:rPr>
        <w:t>2.</w:t>
      </w:r>
      <w:r>
        <w:rPr>
          <w:rFonts w:hint="default" w:ascii="宋体" w:hAnsi="宋体" w:eastAsia="宋体" w:cs="宋体"/>
          <w:kern w:val="0"/>
          <w:sz w:val="28"/>
          <w:szCs w:val="28"/>
          <w:lang w:val="en-US" w:eastAsia="zh-CN" w:bidi="ar"/>
        </w:rPr>
        <w:t>磷化铝片剂属于毒害性物质</w:t>
      </w:r>
      <w:r>
        <w:rPr>
          <w:rFonts w:hint="eastAsia" w:ascii="宋体" w:hAnsi="宋体" w:eastAsia="宋体" w:cs="宋体"/>
          <w:kern w:val="0"/>
          <w:sz w:val="28"/>
          <w:szCs w:val="28"/>
          <w:lang w:val="en-US" w:eastAsia="zh-CN" w:bidi="ar"/>
        </w:rPr>
        <w:t>，若</w:t>
      </w:r>
      <w:r>
        <w:rPr>
          <w:rFonts w:hint="default" w:ascii="宋体" w:hAnsi="宋体" w:eastAsia="宋体" w:cs="宋体"/>
          <w:kern w:val="0"/>
          <w:sz w:val="28"/>
          <w:szCs w:val="28"/>
          <w:lang w:val="en-US" w:eastAsia="zh-CN" w:bidi="ar"/>
        </w:rPr>
        <w:t>乙方</w:t>
      </w:r>
      <w:r>
        <w:rPr>
          <w:rFonts w:hint="eastAsia" w:ascii="宋体" w:hAnsi="宋体" w:eastAsia="宋体" w:cs="宋体"/>
          <w:kern w:val="0"/>
          <w:sz w:val="28"/>
          <w:szCs w:val="28"/>
          <w:lang w:val="en-US" w:eastAsia="zh-CN" w:bidi="ar"/>
        </w:rPr>
        <w:t>使用不具有危险化学品运输资质的，以及非危险化学品专用车辆进行运输，甲方有权拒收。</w:t>
      </w:r>
      <w:r>
        <w:rPr>
          <w:rFonts w:hint="default" w:ascii="宋体" w:hAnsi="宋体" w:eastAsia="宋体" w:cs="宋体"/>
          <w:kern w:val="0"/>
          <w:sz w:val="28"/>
          <w:szCs w:val="28"/>
          <w:lang w:val="en-US" w:eastAsia="zh-CN" w:bidi="ar"/>
        </w:rPr>
        <w:t xml:space="preserve">   </w:t>
      </w:r>
      <w:r>
        <w:rPr>
          <w:rFonts w:hint="default" w:ascii="Times New Roman" w:hAnsi="Times New Roman" w:eastAsia="宋体" w:cs="Times New Roman"/>
          <w:color w:val="auto"/>
          <w:sz w:val="28"/>
          <w:szCs w:val="28"/>
          <w:u w:val="none"/>
        </w:rPr>
        <w:t xml:space="preserve">           </w:t>
      </w:r>
    </w:p>
    <w:p>
      <w:pPr>
        <w:spacing w:line="380" w:lineRule="exact"/>
        <w:ind w:firstLine="560" w:firstLineChars="200"/>
        <w:rPr>
          <w:rFonts w:hint="default" w:ascii="Times New Roman" w:hAnsi="Times New Roman" w:eastAsia="方正黑体_GBK" w:cs="Times New Roman"/>
          <w:b w:val="0"/>
          <w:bCs/>
          <w:color w:val="auto"/>
          <w:sz w:val="28"/>
          <w:szCs w:val="28"/>
          <w:u w:val="none"/>
        </w:rPr>
      </w:pPr>
      <w:r>
        <w:rPr>
          <w:rFonts w:hint="default" w:ascii="Times New Roman" w:hAnsi="Times New Roman" w:eastAsia="方正黑体_GBK" w:cs="Times New Roman"/>
          <w:b w:val="0"/>
          <w:bCs/>
          <w:color w:val="auto"/>
          <w:sz w:val="28"/>
          <w:szCs w:val="28"/>
          <w:u w:val="none"/>
          <w:lang w:val="en-US" w:eastAsia="zh-CN"/>
        </w:rPr>
        <w:t xml:space="preserve">第四条 </w:t>
      </w:r>
      <w:r>
        <w:rPr>
          <w:rFonts w:hint="default" w:ascii="Times New Roman" w:hAnsi="Times New Roman" w:eastAsia="方正黑体_GBK" w:cs="Times New Roman"/>
          <w:b w:val="0"/>
          <w:bCs/>
          <w:color w:val="auto"/>
          <w:sz w:val="28"/>
          <w:szCs w:val="28"/>
          <w:u w:val="none"/>
        </w:rPr>
        <w:t>验收及付款方式</w:t>
      </w:r>
    </w:p>
    <w:p>
      <w:pPr>
        <w:numPr>
          <w:ilvl w:val="0"/>
          <w:numId w:val="0"/>
        </w:numPr>
        <w:spacing w:line="380" w:lineRule="exact"/>
        <w:ind w:firstLine="560" w:firstLineChars="200"/>
        <w:rPr>
          <w:rFonts w:hint="default" w:ascii="Times New Roman" w:hAnsi="Times New Roman" w:eastAsia="宋体" w:cs="Times New Roman"/>
          <w:color w:val="auto"/>
          <w:sz w:val="28"/>
          <w:szCs w:val="28"/>
          <w:u w:val="none"/>
        </w:rPr>
      </w:pPr>
      <w:r>
        <w:rPr>
          <w:rFonts w:hint="default" w:ascii="Times New Roman" w:hAnsi="Times New Roman" w:eastAsia="宋体" w:cs="Times New Roman"/>
          <w:color w:val="auto"/>
          <w:sz w:val="28"/>
          <w:szCs w:val="28"/>
          <w:u w:val="none"/>
          <w:lang w:val="en-US" w:eastAsia="zh-CN"/>
        </w:rPr>
        <w:t>磷化铝送至甲方指定地点</w:t>
      </w:r>
      <w:r>
        <w:rPr>
          <w:rFonts w:hint="eastAsia" w:ascii="宋体" w:hAnsi="宋体" w:eastAsia="宋体" w:cs="宋体"/>
          <w:kern w:val="0"/>
          <w:sz w:val="28"/>
          <w:szCs w:val="28"/>
          <w:lang w:val="en-US" w:eastAsia="zh-CN" w:bidi="ar"/>
        </w:rPr>
        <w:t>安全</w:t>
      </w:r>
      <w:r>
        <w:rPr>
          <w:rFonts w:hint="default" w:ascii="宋体" w:hAnsi="宋体" w:eastAsia="宋体" w:cs="宋体"/>
          <w:kern w:val="0"/>
          <w:sz w:val="28"/>
          <w:szCs w:val="28"/>
          <w:lang w:val="en-US" w:eastAsia="zh-CN" w:bidi="ar"/>
        </w:rPr>
        <w:t>卸货后，由甲方负责清点数量、质量，验收入库，签署合格意见，乙方无违约行</w:t>
      </w:r>
      <w:r>
        <w:rPr>
          <w:rFonts w:hint="default" w:ascii="Times New Roman" w:hAnsi="Times New Roman" w:eastAsia="宋体" w:cs="Times New Roman"/>
          <w:color w:val="auto"/>
          <w:sz w:val="28"/>
          <w:szCs w:val="28"/>
          <w:u w:val="none"/>
          <w:lang w:val="en-US" w:eastAsia="zh-CN"/>
        </w:rPr>
        <w:t>为，则由乙方开具增值税普通发票交于甲方，经甲方审批后，从甲方取得发票之日起15个工作日（含本数）内一次付清货款。</w:t>
      </w:r>
      <w:r>
        <w:rPr>
          <w:rFonts w:hint="default" w:ascii="Times New Roman" w:hAnsi="Times New Roman" w:eastAsia="宋体" w:cs="Times New Roman"/>
          <w:color w:val="auto"/>
          <w:sz w:val="28"/>
          <w:szCs w:val="28"/>
          <w:u w:val="none"/>
        </w:rPr>
        <w:t xml:space="preserve">                                                                   </w:t>
      </w:r>
    </w:p>
    <w:p>
      <w:pPr>
        <w:spacing w:line="380" w:lineRule="exact"/>
        <w:ind w:firstLine="560" w:firstLineChars="200"/>
        <w:rPr>
          <w:rFonts w:hint="default" w:ascii="Times New Roman" w:hAnsi="Times New Roman" w:eastAsia="方正黑体_GBK" w:cs="Times New Roman"/>
          <w:b w:val="0"/>
          <w:bCs/>
          <w:color w:val="auto"/>
          <w:sz w:val="28"/>
          <w:szCs w:val="28"/>
          <w:u w:val="none"/>
          <w:lang w:val="en-US" w:eastAsia="zh-CN"/>
        </w:rPr>
      </w:pPr>
      <w:r>
        <w:rPr>
          <w:rFonts w:hint="default" w:ascii="Times New Roman" w:hAnsi="Times New Roman" w:eastAsia="方正黑体_GBK" w:cs="Times New Roman"/>
          <w:b w:val="0"/>
          <w:bCs/>
          <w:color w:val="auto"/>
          <w:sz w:val="28"/>
          <w:szCs w:val="28"/>
          <w:u w:val="none"/>
          <w:lang w:val="en-US" w:eastAsia="zh-CN"/>
        </w:rPr>
        <w:t>第五条 违约责任</w:t>
      </w:r>
    </w:p>
    <w:p>
      <w:pPr>
        <w:spacing w:line="380" w:lineRule="exact"/>
        <w:ind w:firstLine="560" w:firstLineChars="200"/>
        <w:rPr>
          <w:rFonts w:hint="eastAsia" w:asciiTheme="majorEastAsia" w:hAnsiTheme="majorEastAsia" w:eastAsiaTheme="majorEastAsia" w:cstheme="majorEastAsia"/>
          <w:color w:val="auto"/>
          <w:sz w:val="28"/>
          <w:szCs w:val="28"/>
        </w:rPr>
      </w:pPr>
      <w:r>
        <w:rPr>
          <w:rFonts w:hint="eastAsia" w:cs="Times New Roman"/>
          <w:color w:val="auto"/>
          <w:sz w:val="28"/>
          <w:szCs w:val="28"/>
          <w:u w:val="none"/>
          <w:lang w:val="en-US" w:eastAsia="zh-CN"/>
        </w:rPr>
        <w:t>1.</w:t>
      </w:r>
      <w:r>
        <w:rPr>
          <w:rFonts w:hint="eastAsia" w:ascii="宋体" w:hAnsi="宋体" w:eastAsia="宋体" w:cs="宋体"/>
          <w:bCs w:val="0"/>
          <w:kern w:val="0"/>
          <w:sz w:val="28"/>
          <w:szCs w:val="28"/>
          <w:lang w:val="en-US" w:eastAsia="zh-CN" w:bidi="ar"/>
        </w:rPr>
        <w:t>甲乙双方不得擅自违约，否则</w:t>
      </w:r>
      <w:r>
        <w:rPr>
          <w:rFonts w:hint="eastAsia" w:ascii="宋体" w:hAnsi="宋体" w:eastAsia="宋体" w:cs="宋体"/>
          <w:b w:val="0"/>
          <w:bCs w:val="0"/>
          <w:kern w:val="0"/>
          <w:sz w:val="28"/>
          <w:szCs w:val="28"/>
          <w:lang w:val="en-US" w:eastAsia="zh-CN" w:bidi="ar"/>
        </w:rPr>
        <w:t>违约方应按照本合同金额的20%承担违约金，并</w:t>
      </w:r>
      <w:r>
        <w:rPr>
          <w:rFonts w:hint="eastAsia" w:ascii="宋体" w:hAnsi="宋体" w:eastAsia="宋体" w:cs="宋体"/>
          <w:bCs w:val="0"/>
          <w:kern w:val="0"/>
          <w:sz w:val="28"/>
          <w:szCs w:val="28"/>
          <w:lang w:val="en-US" w:eastAsia="zh-CN" w:bidi="ar"/>
        </w:rPr>
        <w:t>赔偿守约方由此造成的全部经济损失</w:t>
      </w:r>
      <w:r>
        <w:rPr>
          <w:rFonts w:hint="eastAsia" w:ascii="宋体" w:hAnsi="宋体" w:eastAsia="宋体" w:cs="宋体"/>
          <w:bCs w:val="0"/>
          <w:color w:val="auto"/>
          <w:kern w:val="0"/>
          <w:sz w:val="28"/>
          <w:szCs w:val="28"/>
          <w:lang w:val="en-US" w:eastAsia="zh-CN" w:bidi="ar"/>
        </w:rPr>
        <w:t>（包括但不限于追索债务产生的律师费、诉讼费、保全费等一切损失）。</w:t>
      </w:r>
    </w:p>
    <w:p>
      <w:pPr>
        <w:spacing w:line="380" w:lineRule="exact"/>
        <w:ind w:firstLine="560" w:firstLineChars="200"/>
        <w:rPr>
          <w:rFonts w:hint="eastAsia" w:ascii="宋体" w:hAnsi="宋体" w:eastAsia="宋体" w:cs="宋体"/>
          <w:kern w:val="0"/>
          <w:sz w:val="28"/>
          <w:szCs w:val="28"/>
          <w:lang w:bidi="ar"/>
        </w:rPr>
      </w:pPr>
      <w:r>
        <w:rPr>
          <w:rFonts w:hint="eastAsia" w:asciiTheme="majorEastAsia" w:hAnsiTheme="majorEastAsia" w:eastAsiaTheme="majorEastAsia" w:cstheme="majorEastAsia"/>
          <w:sz w:val="28"/>
          <w:szCs w:val="28"/>
          <w:lang w:val="en-US" w:eastAsia="zh-CN"/>
        </w:rPr>
        <w:t>2.</w:t>
      </w:r>
      <w:r>
        <w:rPr>
          <w:rFonts w:hint="eastAsia" w:asciiTheme="majorEastAsia" w:hAnsiTheme="majorEastAsia" w:eastAsiaTheme="majorEastAsia" w:cstheme="majorEastAsia"/>
          <w:sz w:val="28"/>
          <w:szCs w:val="28"/>
        </w:rPr>
        <w:t>若甲方未按合同约定支付货款，每逾期一天，应按未支付货款的万分</w:t>
      </w:r>
      <w:r>
        <w:rPr>
          <w:rFonts w:hint="eastAsia" w:ascii="宋体" w:hAnsi="宋体" w:eastAsia="宋体" w:cs="宋体"/>
          <w:kern w:val="0"/>
          <w:sz w:val="28"/>
          <w:szCs w:val="28"/>
          <w:lang w:bidi="ar"/>
        </w:rPr>
        <w:t>之五向乙方支付违约金。</w:t>
      </w:r>
    </w:p>
    <w:p>
      <w:pPr>
        <w:spacing w:line="380" w:lineRule="exact"/>
        <w:ind w:firstLine="560" w:firstLineChars="200"/>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3.若</w:t>
      </w:r>
      <w:r>
        <w:rPr>
          <w:rFonts w:hint="eastAsia" w:ascii="宋体" w:hAnsi="宋体" w:eastAsia="宋体" w:cs="宋体"/>
          <w:kern w:val="0"/>
          <w:sz w:val="28"/>
          <w:szCs w:val="28"/>
          <w:u w:val="none"/>
          <w:lang w:val="en-US" w:eastAsia="zh-CN" w:bidi="ar"/>
        </w:rPr>
        <w:t>磷化铝</w:t>
      </w:r>
      <w:r>
        <w:rPr>
          <w:rFonts w:hint="eastAsia" w:ascii="宋体" w:hAnsi="宋体" w:eastAsia="宋体" w:cs="宋体"/>
          <w:kern w:val="0"/>
          <w:sz w:val="28"/>
          <w:szCs w:val="28"/>
          <w:lang w:val="en-US" w:eastAsia="zh-CN" w:bidi="ar"/>
        </w:rPr>
        <w:t>的假冒伪劣或侵权行为给甲方或第三方造成人身伤害、财产损失，乙方赔偿由此造成的全部损失以及承担全部的法律责任。</w:t>
      </w:r>
    </w:p>
    <w:p>
      <w:pPr>
        <w:spacing w:line="380" w:lineRule="exact"/>
        <w:ind w:firstLine="560" w:firstLineChars="200"/>
        <w:rPr>
          <w:rFonts w:hint="eastAsia" w:asciiTheme="majorEastAsia" w:hAnsiTheme="majorEastAsia" w:eastAsiaTheme="majorEastAsia" w:cstheme="majorEastAsia"/>
          <w:sz w:val="28"/>
          <w:szCs w:val="28"/>
        </w:rPr>
      </w:pPr>
      <w:r>
        <w:rPr>
          <w:rFonts w:hint="eastAsia" w:ascii="宋体" w:hAnsi="宋体" w:eastAsia="宋体" w:cs="宋体"/>
          <w:kern w:val="0"/>
          <w:sz w:val="28"/>
          <w:szCs w:val="28"/>
          <w:lang w:val="en-US" w:eastAsia="zh-CN" w:bidi="ar"/>
        </w:rPr>
        <w:t>4.</w:t>
      </w:r>
      <w:r>
        <w:rPr>
          <w:rFonts w:hint="eastAsia" w:ascii="宋体" w:hAnsi="宋体" w:eastAsia="宋体" w:cs="宋体"/>
          <w:kern w:val="0"/>
          <w:sz w:val="28"/>
          <w:szCs w:val="28"/>
          <w:lang w:bidi="ar"/>
        </w:rPr>
        <w:t>乙方未按合同约定供货的，按延迟供货的部分款，每延迟一日</w:t>
      </w:r>
      <w:r>
        <w:rPr>
          <w:rFonts w:hint="eastAsia" w:asciiTheme="majorEastAsia" w:hAnsiTheme="majorEastAsia" w:eastAsiaTheme="majorEastAsia" w:cstheme="majorEastAsia"/>
          <w:sz w:val="28"/>
          <w:szCs w:val="28"/>
        </w:rPr>
        <w:t>承担货款的万分之五违约金，延迟10日以上的，除支付违约金外，甲方有权解除合同。</w:t>
      </w:r>
      <w:r>
        <w:rPr>
          <w:rFonts w:hint="eastAsia" w:asciiTheme="majorEastAsia" w:hAnsiTheme="majorEastAsia" w:eastAsiaTheme="majorEastAsia" w:cstheme="majorEastAsia"/>
          <w:sz w:val="28"/>
          <w:szCs w:val="28"/>
          <w:lang w:val="en-US" w:eastAsia="zh-CN"/>
        </w:rPr>
        <w:t>违约金不足以弥补损失的，还应承担赔偿责任</w:t>
      </w:r>
      <w:r>
        <w:rPr>
          <w:rFonts w:hint="eastAsia" w:asciiTheme="majorEastAsia" w:hAnsiTheme="majorEastAsia" w:eastAsiaTheme="majorEastAsia" w:cstheme="majorEastAsia"/>
          <w:color w:val="auto"/>
          <w:sz w:val="28"/>
          <w:szCs w:val="28"/>
          <w:u w:val="none"/>
          <w:lang w:val="en-US" w:eastAsia="zh-CN"/>
        </w:rPr>
        <w:t>。</w:t>
      </w:r>
    </w:p>
    <w:p>
      <w:pPr>
        <w:numPr>
          <w:ilvl w:val="-1"/>
          <w:numId w:val="0"/>
        </w:numPr>
        <w:spacing w:line="420" w:lineRule="exact"/>
        <w:ind w:firstLine="560" w:firstLineChars="200"/>
        <w:rPr>
          <w:rFonts w:hint="default" w:ascii="Times New Roman" w:hAnsi="Times New Roman" w:eastAsia="宋体" w:cs="Times New Roman"/>
          <w:color w:val="auto"/>
          <w:sz w:val="28"/>
          <w:szCs w:val="28"/>
          <w:u w:val="none"/>
          <w:lang w:val="en-US" w:eastAsia="zh-CN"/>
        </w:rPr>
      </w:pPr>
      <w:r>
        <w:rPr>
          <w:rFonts w:hint="eastAsia" w:asciiTheme="majorEastAsia" w:hAnsiTheme="majorEastAsia" w:eastAsiaTheme="majorEastAsia" w:cstheme="majorEastAsia"/>
          <w:sz w:val="28"/>
          <w:szCs w:val="28"/>
          <w:lang w:val="en-US" w:eastAsia="zh-CN"/>
        </w:rPr>
        <w:t>5.</w:t>
      </w:r>
      <w:r>
        <w:rPr>
          <w:rFonts w:hint="eastAsia" w:ascii="宋体" w:hAnsi="宋体" w:eastAsia="宋体" w:cs="宋体"/>
          <w:kern w:val="0"/>
          <w:sz w:val="28"/>
          <w:szCs w:val="28"/>
          <w:lang w:val="en-US" w:eastAsia="zh-CN" w:bidi="ar"/>
        </w:rPr>
        <w:t>甲方</w:t>
      </w:r>
      <w:r>
        <w:rPr>
          <w:rFonts w:hint="eastAsia" w:ascii="宋体" w:hAnsi="宋体" w:eastAsia="宋体" w:cs="宋体"/>
          <w:bCs w:val="0"/>
          <w:color w:val="auto"/>
          <w:kern w:val="0"/>
          <w:sz w:val="28"/>
          <w:szCs w:val="28"/>
          <w:lang w:val="en-US" w:eastAsia="zh-CN" w:bidi="ar"/>
        </w:rPr>
        <w:t>因政策</w:t>
      </w:r>
      <w:r>
        <w:rPr>
          <w:rFonts w:hint="eastAsia" w:ascii="宋体" w:hAnsi="宋体" w:eastAsia="宋体" w:cs="宋体"/>
          <w:kern w:val="0"/>
          <w:sz w:val="28"/>
          <w:szCs w:val="28"/>
          <w:lang w:val="en-US" w:eastAsia="zh-CN" w:bidi="ar"/>
        </w:rPr>
        <w:t>变动或机构改革等不可抗力因素不能履行合同的，不承担赔偿责任，但应及时通知乙方，若因此而产生的费用</w:t>
      </w:r>
      <w:r>
        <w:rPr>
          <w:rFonts w:hint="eastAsia" w:asciiTheme="minorEastAsia" w:hAnsiTheme="minorEastAsia" w:eastAsiaTheme="minorEastAsia" w:cstheme="minorEastAsia"/>
          <w:sz w:val="28"/>
          <w:szCs w:val="28"/>
        </w:rPr>
        <w:t>由双方协商确定。</w:t>
      </w:r>
    </w:p>
    <w:p>
      <w:pPr>
        <w:spacing w:line="380" w:lineRule="exact"/>
        <w:ind w:firstLine="560" w:firstLineChars="200"/>
        <w:rPr>
          <w:rFonts w:hint="default" w:ascii="Times New Roman" w:hAnsi="Times New Roman" w:eastAsia="方正黑体_GBK" w:cs="Times New Roman"/>
          <w:b w:val="0"/>
          <w:bCs/>
          <w:color w:val="auto"/>
          <w:sz w:val="28"/>
          <w:szCs w:val="28"/>
          <w:u w:val="none"/>
          <w:lang w:val="en-US" w:eastAsia="zh-CN"/>
        </w:rPr>
      </w:pPr>
      <w:r>
        <w:rPr>
          <w:rFonts w:hint="default" w:ascii="Times New Roman" w:hAnsi="Times New Roman" w:eastAsia="方正黑体_GBK" w:cs="Times New Roman"/>
          <w:b w:val="0"/>
          <w:bCs/>
          <w:color w:val="auto"/>
          <w:sz w:val="28"/>
          <w:szCs w:val="28"/>
          <w:u w:val="none"/>
          <w:lang w:val="en-US" w:eastAsia="zh-CN"/>
        </w:rPr>
        <w:t>第六条 解决合同纠纷的方式</w:t>
      </w:r>
    </w:p>
    <w:p>
      <w:pPr>
        <w:spacing w:line="380" w:lineRule="exact"/>
        <w:ind w:firstLine="560" w:firstLineChars="200"/>
        <w:rPr>
          <w:rFonts w:hint="default" w:ascii="Times New Roman" w:hAnsi="Times New Roman" w:eastAsia="宋体" w:cs="Times New Roman"/>
          <w:color w:val="auto"/>
          <w:sz w:val="28"/>
          <w:szCs w:val="28"/>
          <w:u w:val="none"/>
        </w:rPr>
      </w:pPr>
      <w:r>
        <w:rPr>
          <w:rFonts w:hint="default" w:ascii="Times New Roman" w:hAnsi="Times New Roman" w:eastAsia="宋体" w:cs="Times New Roman"/>
          <w:color w:val="auto"/>
          <w:sz w:val="28"/>
          <w:szCs w:val="28"/>
          <w:u w:val="none"/>
          <w:lang w:val="en-US" w:eastAsia="zh-CN"/>
        </w:rPr>
        <w:t>双方应全面履行本合同，若有争议，协商</w:t>
      </w:r>
      <w:r>
        <w:rPr>
          <w:rFonts w:hint="default" w:ascii="宋体" w:hAnsi="宋体" w:eastAsia="宋体" w:cs="宋体"/>
          <w:kern w:val="0"/>
          <w:sz w:val="28"/>
          <w:szCs w:val="28"/>
          <w:lang w:val="en-US" w:eastAsia="zh-CN" w:bidi="ar"/>
        </w:rPr>
        <w:t>解决；协商不成，</w:t>
      </w:r>
      <w:r>
        <w:rPr>
          <w:rFonts w:hint="eastAsia" w:ascii="宋体" w:hAnsi="宋体" w:eastAsia="宋体" w:cs="宋体"/>
          <w:kern w:val="0"/>
          <w:sz w:val="28"/>
          <w:szCs w:val="28"/>
          <w:lang w:val="en-US" w:eastAsia="zh-CN" w:bidi="ar"/>
        </w:rPr>
        <w:t>双方同意，均</w:t>
      </w:r>
      <w:r>
        <w:rPr>
          <w:rFonts w:hint="default" w:ascii="宋体" w:hAnsi="宋体" w:eastAsia="宋体" w:cs="宋体"/>
          <w:kern w:val="0"/>
          <w:sz w:val="28"/>
          <w:szCs w:val="28"/>
          <w:lang w:val="en-US" w:eastAsia="zh-CN" w:bidi="ar"/>
        </w:rPr>
        <w:t>可向</w:t>
      </w:r>
      <w:r>
        <w:rPr>
          <w:rFonts w:hint="eastAsia" w:ascii="宋体" w:hAnsi="宋体" w:eastAsia="宋体" w:cs="宋体"/>
          <w:kern w:val="0"/>
          <w:sz w:val="28"/>
          <w:szCs w:val="28"/>
          <w:lang w:val="en-US" w:eastAsia="zh-CN" w:bidi="ar"/>
        </w:rPr>
        <w:t>重庆市梁平区</w:t>
      </w:r>
      <w:r>
        <w:rPr>
          <w:rFonts w:hint="default" w:ascii="宋体" w:hAnsi="宋体" w:eastAsia="宋体" w:cs="宋体"/>
          <w:kern w:val="0"/>
          <w:sz w:val="28"/>
          <w:szCs w:val="28"/>
          <w:lang w:val="en-US" w:eastAsia="zh-CN" w:bidi="ar"/>
        </w:rPr>
        <w:t xml:space="preserve">人民法院诉讼解决。           </w:t>
      </w:r>
      <w:r>
        <w:rPr>
          <w:rFonts w:hint="default" w:ascii="Times New Roman" w:hAnsi="Times New Roman" w:eastAsia="宋体" w:cs="Times New Roman"/>
          <w:color w:val="auto"/>
          <w:sz w:val="28"/>
          <w:szCs w:val="28"/>
          <w:u w:val="none"/>
        </w:rPr>
        <w:t xml:space="preserve">                                                         </w:t>
      </w:r>
    </w:p>
    <w:p>
      <w:pPr>
        <w:spacing w:line="380" w:lineRule="exact"/>
        <w:ind w:firstLine="560" w:firstLineChars="200"/>
        <w:rPr>
          <w:rFonts w:hint="default" w:ascii="Times New Roman" w:hAnsi="Times New Roman" w:eastAsia="方正黑体_GBK" w:cs="Times New Roman"/>
          <w:b w:val="0"/>
          <w:bCs/>
          <w:color w:val="auto"/>
          <w:sz w:val="28"/>
          <w:szCs w:val="28"/>
          <w:u w:val="none"/>
          <w:lang w:val="en-US" w:eastAsia="zh-CN"/>
        </w:rPr>
      </w:pPr>
      <w:r>
        <w:rPr>
          <w:rFonts w:hint="default" w:ascii="Times New Roman" w:hAnsi="Times New Roman" w:eastAsia="方正黑体_GBK" w:cs="Times New Roman"/>
          <w:b w:val="0"/>
          <w:bCs/>
          <w:color w:val="auto"/>
          <w:sz w:val="28"/>
          <w:szCs w:val="28"/>
          <w:u w:val="none"/>
          <w:lang w:val="en-US" w:eastAsia="zh-CN"/>
        </w:rPr>
        <w:t>第七条 其他</w:t>
      </w:r>
    </w:p>
    <w:p>
      <w:pPr>
        <w:spacing w:line="380" w:lineRule="exact"/>
        <w:ind w:firstLine="560" w:firstLineChars="200"/>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1.本合同款项必须汇入甲方指定帐户，否则，由此可能造成的经济损失，由乙方自行承担，甲方概不负责。</w:t>
      </w:r>
    </w:p>
    <w:p>
      <w:pPr>
        <w:spacing w:line="380" w:lineRule="exact"/>
        <w:ind w:firstLine="560" w:firstLineChars="200"/>
        <w:rPr>
          <w:rFonts w:hint="default"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2.本合同签订相关事宜落实双方项目经办人，以便双方工作对接，履行本合同有效签订确认程序，扫描件、传真件均视为有效件。经双方确认的传真、短信、微信记录等，将作为本合同的组成部分，具有合同的效力。</w:t>
      </w:r>
    </w:p>
    <w:p>
      <w:pPr>
        <w:spacing w:line="380" w:lineRule="exact"/>
        <w:ind w:firstLine="560" w:firstLineChars="2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val="en-US" w:eastAsia="zh-CN"/>
        </w:rPr>
        <w:t>3.</w:t>
      </w:r>
      <w:r>
        <w:rPr>
          <w:rFonts w:hint="eastAsia" w:asciiTheme="majorEastAsia" w:hAnsiTheme="majorEastAsia" w:eastAsiaTheme="majorEastAsia" w:cstheme="majorEastAsia"/>
          <w:sz w:val="28"/>
          <w:szCs w:val="28"/>
        </w:rPr>
        <w:t>本合同未尽事宜应当依据有关法律、法规和规章之规定执行</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或另行签订补充协议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补充协议与本合同具有同等法律效力。</w:t>
      </w:r>
    </w:p>
    <w:p>
      <w:pPr>
        <w:autoSpaceDE/>
        <w:autoSpaceDN/>
        <w:adjustRightInd/>
        <w:spacing w:line="420" w:lineRule="exact"/>
        <w:ind w:firstLine="560" w:firstLineChars="200"/>
        <w:jc w:val="left"/>
        <w:rPr>
          <w:rFonts w:hint="default" w:ascii="Times New Roman" w:hAnsi="Times New Roman" w:eastAsia="宋体" w:cs="Times New Roman"/>
          <w:b w:val="0"/>
          <w:bCs w:val="0"/>
          <w:color w:val="auto"/>
          <w:sz w:val="28"/>
          <w:szCs w:val="28"/>
          <w:highlight w:val="none"/>
        </w:rPr>
      </w:pPr>
      <w:r>
        <w:rPr>
          <w:rFonts w:hint="eastAsia" w:cs="Times New Roman"/>
          <w:b w:val="0"/>
          <w:bCs w:val="0"/>
          <w:sz w:val="28"/>
          <w:szCs w:val="28"/>
          <w:lang w:val="en-US" w:eastAsia="zh-CN"/>
        </w:rPr>
        <w:t>4.</w:t>
      </w:r>
      <w:r>
        <w:rPr>
          <w:rFonts w:hint="default" w:ascii="Times New Roman" w:hAnsi="Times New Roman" w:eastAsia="宋体" w:cs="Times New Roman"/>
          <w:b w:val="0"/>
          <w:bCs w:val="0"/>
          <w:color w:val="auto"/>
          <w:sz w:val="28"/>
          <w:szCs w:val="28"/>
          <w:highlight w:val="none"/>
        </w:rPr>
        <w:t>本合同一式肆份，甲乙双方签名盖章之日起正式生效，</w:t>
      </w:r>
      <w:r>
        <w:rPr>
          <w:rFonts w:hint="default" w:ascii="Times New Roman" w:hAnsi="Times New Roman" w:cs="Times New Roman"/>
          <w:b w:val="0"/>
          <w:bCs w:val="0"/>
          <w:sz w:val="28"/>
          <w:szCs w:val="28"/>
          <w:lang w:eastAsia="zh-CN"/>
        </w:rPr>
        <w:t>甲</w:t>
      </w:r>
      <w:r>
        <w:rPr>
          <w:rFonts w:hint="default" w:ascii="Times New Roman" w:hAnsi="Times New Roman" w:eastAsia="宋体" w:cs="Times New Roman"/>
          <w:b w:val="0"/>
          <w:bCs w:val="0"/>
          <w:sz w:val="28"/>
          <w:szCs w:val="28"/>
        </w:rPr>
        <w:t>方持叁份、</w:t>
      </w:r>
      <w:r>
        <w:rPr>
          <w:rFonts w:hint="default" w:ascii="Times New Roman" w:hAnsi="Times New Roman" w:cs="Times New Roman"/>
          <w:b w:val="0"/>
          <w:bCs w:val="0"/>
          <w:sz w:val="28"/>
          <w:szCs w:val="28"/>
          <w:lang w:eastAsia="zh-CN"/>
        </w:rPr>
        <w:t>乙</w:t>
      </w:r>
      <w:r>
        <w:rPr>
          <w:rFonts w:hint="default" w:ascii="Times New Roman" w:hAnsi="Times New Roman" w:eastAsia="宋体" w:cs="Times New Roman"/>
          <w:b w:val="0"/>
          <w:bCs w:val="0"/>
          <w:sz w:val="28"/>
          <w:szCs w:val="28"/>
        </w:rPr>
        <w:t>方持壹</w:t>
      </w:r>
      <w:r>
        <w:rPr>
          <w:rFonts w:hint="default" w:ascii="Times New Roman" w:hAnsi="Times New Roman" w:eastAsia="宋体" w:cs="Times New Roman"/>
          <w:b w:val="0"/>
          <w:bCs w:val="0"/>
          <w:color w:val="auto"/>
          <w:sz w:val="28"/>
          <w:szCs w:val="28"/>
          <w:highlight w:val="none"/>
        </w:rPr>
        <w:t xml:space="preserve">份，具有同等法律效力。            </w:t>
      </w:r>
    </w:p>
    <w:p>
      <w:pPr>
        <w:autoSpaceDE w:val="0"/>
        <w:autoSpaceDN w:val="0"/>
        <w:adjustRightInd w:val="0"/>
        <w:spacing w:line="380" w:lineRule="exact"/>
        <w:ind w:firstLine="482"/>
        <w:jc w:val="both"/>
        <w:rPr>
          <w:rFonts w:hint="default" w:ascii="Times New Roman" w:hAnsi="Times New Roman" w:eastAsia="宋体" w:cs="Times New Roman"/>
          <w:b w:val="0"/>
          <w:bCs w:val="0"/>
          <w:color w:val="auto"/>
          <w:sz w:val="28"/>
          <w:szCs w:val="28"/>
        </w:rPr>
      </w:pPr>
      <w:r>
        <w:rPr>
          <w:rFonts w:hint="default" w:ascii="Times New Roman" w:hAnsi="Times New Roman" w:eastAsia="宋体" w:cs="Times New Roman"/>
          <w:b w:val="0"/>
          <w:bCs w:val="0"/>
          <w:color w:val="auto"/>
          <w:sz w:val="28"/>
          <w:szCs w:val="28"/>
        </w:rPr>
        <w:t>（以下无</w:t>
      </w:r>
      <w:r>
        <w:rPr>
          <w:rFonts w:hint="default" w:ascii="Times New Roman" w:hAnsi="Times New Roman" w:eastAsia="宋体" w:cs="Times New Roman"/>
          <w:b w:val="0"/>
          <w:bCs w:val="0"/>
          <w:color w:val="auto"/>
          <w:sz w:val="28"/>
          <w:szCs w:val="28"/>
          <w:lang w:eastAsia="zh-CN"/>
        </w:rPr>
        <w:t>正文</w:t>
      </w:r>
      <w:r>
        <w:rPr>
          <w:rFonts w:hint="default" w:ascii="Times New Roman" w:hAnsi="Times New Roman" w:eastAsia="宋体" w:cs="Times New Roman"/>
          <w:b w:val="0"/>
          <w:bCs w:val="0"/>
          <w:color w:val="auto"/>
          <w:sz w:val="28"/>
          <w:szCs w:val="28"/>
        </w:rPr>
        <w:t>）</w:t>
      </w:r>
    </w:p>
    <w:tbl>
      <w:tblPr>
        <w:tblStyle w:val="6"/>
        <w:tblpPr w:leftFromText="180" w:rightFromText="180" w:vertAnchor="text" w:horzAnchor="page" w:tblpX="1556" w:tblpY="154"/>
        <w:tblOverlap w:val="never"/>
        <w:tblW w:w="9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0"/>
        <w:gridCol w:w="4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00" w:type="dxa"/>
            <w:noWrap w:val="0"/>
            <w:vAlign w:val="top"/>
          </w:tcPr>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rPr>
              <w:t>甲方（</w:t>
            </w:r>
            <w:r>
              <w:rPr>
                <w:rFonts w:hint="default" w:ascii="Times New Roman" w:hAnsi="Times New Roman" w:eastAsia="宋体" w:cs="Times New Roman"/>
                <w:b w:val="0"/>
                <w:bCs w:val="0"/>
                <w:color w:val="auto"/>
                <w:sz w:val="28"/>
                <w:szCs w:val="28"/>
                <w:highlight w:val="none"/>
                <w:lang w:val="en-US" w:eastAsia="zh-CN"/>
              </w:rPr>
              <w:t>加</w:t>
            </w:r>
            <w:r>
              <w:rPr>
                <w:rFonts w:hint="default" w:ascii="Times New Roman" w:hAnsi="Times New Roman" w:eastAsia="宋体" w:cs="Times New Roman"/>
                <w:b w:val="0"/>
                <w:bCs w:val="0"/>
                <w:color w:val="auto"/>
                <w:sz w:val="28"/>
                <w:szCs w:val="28"/>
                <w:highlight w:val="none"/>
              </w:rPr>
              <w:t>章）：</w:t>
            </w: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lang w:val="en-US" w:eastAsia="zh-CN"/>
              </w:rPr>
            </w:pP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val="en-US" w:eastAsia="zh-CN"/>
              </w:rPr>
              <w:t>主要负责</w:t>
            </w:r>
            <w:r>
              <w:rPr>
                <w:rFonts w:hint="default" w:ascii="Times New Roman" w:hAnsi="Times New Roman" w:eastAsia="宋体" w:cs="Times New Roman"/>
                <w:b w:val="0"/>
                <w:bCs w:val="0"/>
                <w:color w:val="auto"/>
                <w:sz w:val="28"/>
                <w:szCs w:val="28"/>
                <w:highlight w:val="none"/>
              </w:rPr>
              <w:t>人</w:t>
            </w:r>
            <w:r>
              <w:rPr>
                <w:rFonts w:hint="default" w:ascii="Times New Roman" w:hAnsi="Times New Roman" w:eastAsia="宋体" w:cs="Times New Roman"/>
                <w:b w:val="0"/>
                <w:bCs w:val="0"/>
                <w:color w:val="auto"/>
                <w:sz w:val="28"/>
                <w:szCs w:val="28"/>
                <w:highlight w:val="none"/>
                <w:lang w:eastAsia="zh-CN"/>
              </w:rPr>
              <w:t>（</w:t>
            </w:r>
            <w:r>
              <w:rPr>
                <w:rFonts w:hint="eastAsia" w:ascii="Times New Roman" w:hAnsi="Times New Roman" w:eastAsia="宋体" w:cs="Times New Roman"/>
                <w:b w:val="0"/>
                <w:bCs w:val="0"/>
                <w:color w:val="auto"/>
                <w:sz w:val="28"/>
                <w:szCs w:val="28"/>
                <w:highlight w:val="none"/>
                <w:lang w:val="en-US" w:eastAsia="zh-CN"/>
              </w:rPr>
              <w:t>签章</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rPr>
              <w:t>：</w:t>
            </w: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rPr>
            </w:pPr>
            <w:r>
              <w:rPr>
                <w:rFonts w:hint="eastAsia" w:ascii="Times New Roman" w:hAnsi="Times New Roman" w:eastAsia="宋体" w:cs="Times New Roman"/>
                <w:b w:val="0"/>
                <w:bCs w:val="0"/>
                <w:color w:val="auto"/>
                <w:sz w:val="28"/>
                <w:szCs w:val="28"/>
                <w:highlight w:val="none"/>
                <w:lang w:val="en-US" w:eastAsia="zh-CN"/>
              </w:rPr>
              <w:t>项目</w:t>
            </w:r>
            <w:r>
              <w:rPr>
                <w:rFonts w:hint="default" w:ascii="Times New Roman" w:hAnsi="Times New Roman" w:eastAsia="宋体" w:cs="Times New Roman"/>
                <w:b w:val="0"/>
                <w:bCs w:val="0"/>
                <w:color w:val="auto"/>
                <w:sz w:val="28"/>
                <w:szCs w:val="28"/>
                <w:highlight w:val="none"/>
                <w:lang w:val="en-US" w:eastAsia="zh-CN"/>
              </w:rPr>
              <w:t>经办人</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签字</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rPr>
              <w:t>：</w:t>
            </w:r>
          </w:p>
          <w:p>
            <w:pPr>
              <w:autoSpaceDE w:val="0"/>
              <w:autoSpaceDN w:val="0"/>
              <w:adjustRightInd w:val="0"/>
              <w:spacing w:line="380" w:lineRule="exact"/>
              <w:ind w:left="1120" w:hanging="1120" w:hangingChars="400"/>
              <w:jc w:val="left"/>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开户行：中国农业发展银行重庆市梁平支行</w:t>
            </w: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账号：20350022800100000324511</w:t>
            </w: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rPr>
            </w:pPr>
          </w:p>
        </w:tc>
        <w:tc>
          <w:tcPr>
            <w:tcW w:w="4500" w:type="dxa"/>
            <w:noWrap w:val="0"/>
            <w:vAlign w:val="top"/>
          </w:tcPr>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lang w:eastAsia="zh-CN"/>
              </w:rPr>
            </w:pPr>
            <w:r>
              <w:rPr>
                <w:rFonts w:hint="default" w:ascii="Times New Roman" w:hAnsi="Times New Roman" w:eastAsia="宋体" w:cs="Times New Roman"/>
                <w:b w:val="0"/>
                <w:bCs w:val="0"/>
                <w:color w:val="auto"/>
                <w:sz w:val="28"/>
                <w:szCs w:val="28"/>
                <w:highlight w:val="none"/>
              </w:rPr>
              <w:t>乙方（</w:t>
            </w:r>
            <w:r>
              <w:rPr>
                <w:rFonts w:hint="default" w:ascii="Times New Roman" w:hAnsi="Times New Roman" w:eastAsia="宋体" w:cs="Times New Roman"/>
                <w:b w:val="0"/>
                <w:bCs w:val="0"/>
                <w:color w:val="auto"/>
                <w:sz w:val="28"/>
                <w:szCs w:val="28"/>
                <w:highlight w:val="none"/>
                <w:lang w:val="en-US" w:eastAsia="zh-CN"/>
              </w:rPr>
              <w:t>加</w:t>
            </w:r>
            <w:r>
              <w:rPr>
                <w:rFonts w:hint="default" w:ascii="Times New Roman" w:hAnsi="Times New Roman" w:eastAsia="宋体" w:cs="Times New Roman"/>
                <w:b w:val="0"/>
                <w:bCs w:val="0"/>
                <w:color w:val="auto"/>
                <w:sz w:val="28"/>
                <w:szCs w:val="28"/>
                <w:highlight w:val="none"/>
              </w:rPr>
              <w:t>章）：</w:t>
            </w: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rPr>
            </w:pP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法定代表人</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签字</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rPr>
              <w:t>：</w:t>
            </w: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rPr>
            </w:pPr>
            <w:r>
              <w:rPr>
                <w:rFonts w:hint="eastAsia" w:ascii="Times New Roman" w:hAnsi="Times New Roman" w:eastAsia="宋体" w:cs="Times New Roman"/>
                <w:b w:val="0"/>
                <w:bCs w:val="0"/>
                <w:color w:val="auto"/>
                <w:sz w:val="28"/>
                <w:szCs w:val="28"/>
                <w:highlight w:val="none"/>
                <w:lang w:val="en-US" w:eastAsia="zh-CN"/>
              </w:rPr>
              <w:t>项目</w:t>
            </w:r>
            <w:r>
              <w:rPr>
                <w:rFonts w:hint="default" w:ascii="Times New Roman" w:hAnsi="Times New Roman" w:eastAsia="宋体" w:cs="Times New Roman"/>
                <w:b w:val="0"/>
                <w:bCs w:val="0"/>
                <w:color w:val="auto"/>
                <w:sz w:val="28"/>
                <w:szCs w:val="28"/>
                <w:highlight w:val="none"/>
                <w:lang w:val="en-US" w:eastAsia="zh-CN"/>
              </w:rPr>
              <w:t>经办</w:t>
            </w:r>
            <w:r>
              <w:rPr>
                <w:rFonts w:hint="default" w:ascii="Times New Roman" w:hAnsi="Times New Roman" w:eastAsia="宋体" w:cs="Times New Roman"/>
                <w:b w:val="0"/>
                <w:bCs w:val="0"/>
                <w:color w:val="auto"/>
                <w:sz w:val="28"/>
                <w:szCs w:val="28"/>
                <w:highlight w:val="none"/>
              </w:rPr>
              <w:t>人</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签字</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rPr>
              <w:t>：</w:t>
            </w: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开户行：</w:t>
            </w: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rPr>
            </w:pP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lang w:val="en-US" w:eastAsia="zh-CN"/>
              </w:rPr>
            </w:pPr>
            <w:r>
              <w:rPr>
                <w:rFonts w:hint="default" w:ascii="Times New Roman" w:hAnsi="Times New Roman" w:eastAsia="宋体" w:cs="Times New Roman"/>
                <w:b w:val="0"/>
                <w:bCs w:val="0"/>
                <w:color w:val="auto"/>
                <w:sz w:val="28"/>
                <w:szCs w:val="28"/>
                <w:highlight w:val="none"/>
              </w:rPr>
              <w:t>账号：</w:t>
            </w:r>
          </w:p>
          <w:p>
            <w:pPr>
              <w:autoSpaceDE w:val="0"/>
              <w:autoSpaceDN w:val="0"/>
              <w:adjustRightInd w:val="0"/>
              <w:spacing w:line="380" w:lineRule="exact"/>
              <w:jc w:val="left"/>
              <w:rPr>
                <w:rFonts w:hint="default" w:ascii="Times New Roman" w:hAnsi="Times New Roman" w:eastAsia="宋体" w:cs="Times New Roman"/>
                <w:b w:val="0"/>
                <w:bCs w:val="0"/>
                <w:color w:val="auto"/>
                <w:sz w:val="28"/>
                <w:szCs w:val="28"/>
                <w:highlight w:val="none"/>
                <w:lang w:val="en-US" w:eastAsia="zh-CN"/>
              </w:rPr>
            </w:pPr>
          </w:p>
        </w:tc>
      </w:tr>
    </w:tbl>
    <w:p>
      <w:pPr>
        <w:pStyle w:val="3"/>
        <w:keepNext w:val="0"/>
        <w:keepLines w:val="0"/>
        <w:pageBreakBefore w:val="0"/>
        <w:widowControl w:val="0"/>
        <w:kinsoku/>
        <w:wordWrap/>
        <w:overflowPunct/>
        <w:topLinePunct w:val="0"/>
        <w:autoSpaceDE/>
        <w:autoSpaceDN/>
        <w:bidi w:val="0"/>
        <w:spacing w:line="594" w:lineRule="exact"/>
        <w:ind w:left="0" w:leftChars="0" w:firstLine="0" w:firstLineChars="0"/>
        <w:textAlignment w:val="auto"/>
        <w:rPr>
          <w:rFonts w:hint="eastAsia"/>
          <w:lang w:val="en-US" w:eastAsia="zh-CN"/>
        </w:rPr>
      </w:pPr>
    </w:p>
    <w:p>
      <w:pPr>
        <w:rPr>
          <w:rFonts w:hint="default"/>
          <w:lang w:val="en-US" w:eastAsia="zh-CN"/>
        </w:rPr>
      </w:pPr>
    </w:p>
    <w:p/>
    <w:p/>
    <w:sectPr>
      <w:footerReference r:id="rId3" w:type="default"/>
      <w:pgSz w:w="11906" w:h="16838"/>
      <w:pgMar w:top="1984" w:right="1446" w:bottom="1644" w:left="1446" w:header="851" w:footer="1134" w:gutter="0"/>
      <w:pgNumType w:fmt="decimal"/>
      <w:cols w:space="0" w:num="1"/>
      <w:rtlGutter w:val="0"/>
      <w:docGrid w:type="lines" w:linePitch="4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E4ADC"/>
    <w:rsid w:val="10A32AD6"/>
    <w:rsid w:val="1E8E000F"/>
    <w:rsid w:val="1F2658A8"/>
    <w:rsid w:val="315F0DA8"/>
    <w:rsid w:val="44A264DC"/>
    <w:rsid w:val="5ADE4ADC"/>
    <w:rsid w:val="5EF65F62"/>
    <w:rsid w:val="62E61062"/>
    <w:rsid w:val="6EE605E9"/>
    <w:rsid w:val="7B2720E7"/>
    <w:rsid w:val="7FE2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uiPriority w:val="0"/>
    <w:pPr>
      <w:spacing w:after="120" w:afterLines="0" w:afterAutospacing="0"/>
    </w:pPr>
  </w:style>
  <w:style w:type="paragraph" w:styleId="3">
    <w:name w:val="Normal Indent"/>
    <w:qFormat/>
    <w:uiPriority w:val="0"/>
    <w:pPr>
      <w:widowControl w:val="0"/>
      <w:ind w:firstLine="420" w:firstLineChars="200"/>
      <w:jc w:val="both"/>
    </w:pPr>
    <w:rPr>
      <w:rFonts w:ascii="Times New Roman" w:hAnsi="Times New Roman" w:eastAsia="方正仿宋_GBK" w:cs="Times New Roman"/>
      <w:kern w:val="2"/>
      <w:sz w:val="32"/>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link w:val="1"/>
    <w:qFormat/>
    <w:uiPriority w:val="0"/>
    <w:rPr>
      <w:rFonts w:eastAsia="方正仿宋_GBK" w:cs="宋体" w:asciiTheme="minorAscii" w:hAnsiTheme="minorAscii"/>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2026-04-28T06:02:00Z</dcterms:created>
  <dc:creator>孙亚东</dc:creator>
  <cp:lastModifiedBy>孙亚东</cp:lastModifiedBy>
  <dcterms:modified xsi:type="dcterms:W3CDTF">2026-04-28T06:03:22Z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DAE21C28A64D4901B6B428D2694EDA0C</vt:lpwstr>
  </property>
</Properties>
</file>