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2B175">
      <w:pPr>
        <w:pStyle w:val="17"/>
        <w:spacing w:beforeLines="0" w:afterLines="0" w:line="594" w:lineRule="exact"/>
        <w:rPr>
          <w:rFonts w:hint="eastAsia" w:ascii="方正黑体_GBK" w:hAnsi="方正黑体_GBK" w:eastAsia="方正黑体_GBK" w:cs="方正黑体_GBK"/>
          <w:b w:val="0"/>
          <w:bCs/>
          <w:color w:val="auto"/>
          <w:kern w:val="0"/>
          <w:sz w:val="32"/>
          <w:szCs w:val="32"/>
          <w:lang w:val="en-US" w:eastAsia="zh-CN" w:bidi="ar-SA"/>
        </w:rPr>
      </w:pPr>
      <w:bookmarkStart w:id="0" w:name="_GoBack"/>
      <w:bookmarkEnd w:id="0"/>
      <w:r>
        <w:rPr>
          <w:rFonts w:hint="eastAsia" w:ascii="方正黑体_GBK" w:hAnsi="方正黑体_GBK" w:eastAsia="方正黑体_GBK" w:cs="方正黑体_GBK"/>
          <w:b w:val="0"/>
          <w:bCs/>
          <w:color w:val="auto"/>
          <w:kern w:val="0"/>
          <w:sz w:val="32"/>
          <w:szCs w:val="32"/>
          <w:lang w:val="en-US" w:eastAsia="zh-CN" w:bidi="ar-SA"/>
        </w:rPr>
        <w:t>附</w:t>
      </w:r>
      <w:r>
        <w:rPr>
          <w:rFonts w:hint="eastAsia" w:cs="方正黑体_GBK"/>
          <w:b w:val="0"/>
          <w:bCs/>
          <w:color w:val="auto"/>
          <w:kern w:val="0"/>
          <w:sz w:val="32"/>
          <w:szCs w:val="32"/>
          <w:lang w:val="en-US" w:eastAsia="zh-CN" w:bidi="ar-SA"/>
        </w:rPr>
        <w:t>件4</w:t>
      </w:r>
    </w:p>
    <w:p w14:paraId="3F8BACFD">
      <w:pPr>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货物运输合同</w:t>
      </w:r>
    </w:p>
    <w:p w14:paraId="6CE655E2">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r>
        <w:rPr>
          <w:rFonts w:hint="default" w:ascii="Times New Roman" w:hAnsi="Times New Roman" w:cs="Times New Roman" w:eastAsiaTheme="minorEastAsia"/>
          <w:sz w:val="24"/>
          <w:szCs w:val="24"/>
          <w:lang w:val="en-US" w:eastAsia="zh-CN"/>
        </w:rPr>
        <w:t xml:space="preserve">  </w:t>
      </w:r>
      <w:r>
        <w:rPr>
          <w:rFonts w:hint="eastAsia"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lang w:val="en-US" w:eastAsia="zh-CN"/>
        </w:rPr>
        <w:t>编号：LPYS2</w:t>
      </w:r>
      <w:r>
        <w:rPr>
          <w:rFonts w:hint="eastAsia" w:ascii="Times New Roman" w:hAnsi="Times New Roman" w:cs="Times New Roman" w:eastAsiaTheme="minorEastAsia"/>
          <w:sz w:val="24"/>
          <w:szCs w:val="24"/>
          <w:lang w:val="en-US" w:eastAsia="zh-CN"/>
        </w:rPr>
        <w:t>5</w:t>
      </w:r>
      <w:r>
        <w:rPr>
          <w:rFonts w:hint="eastAsia" w:cs="Times New Roman" w:eastAsiaTheme="minorEastAsia"/>
          <w:sz w:val="24"/>
          <w:szCs w:val="24"/>
          <w:lang w:val="en-US" w:eastAsia="zh-CN"/>
        </w:rPr>
        <w:t>10</w:t>
      </w:r>
      <w:r>
        <w:rPr>
          <w:rFonts w:hint="eastAsia" w:ascii="Times New Roman" w:hAnsi="Times New Roman" w:cs="Times New Roman" w:eastAsiaTheme="minorEastAsia"/>
          <w:sz w:val="24"/>
          <w:szCs w:val="24"/>
          <w:lang w:val="en-US" w:eastAsia="zh-CN"/>
        </w:rPr>
        <w:t>XXXX</w:t>
      </w:r>
    </w:p>
    <w:p w14:paraId="1C38931C">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方正黑体_GBK" w:hAnsi="方正黑体_GBK" w:eastAsia="方正黑体_GBK" w:cs="方正黑体_GBK"/>
          <w:sz w:val="24"/>
          <w:szCs w:val="24"/>
          <w:lang w:val="en-US" w:eastAsia="zh-CN"/>
        </w:rPr>
      </w:pPr>
    </w:p>
    <w:p w14:paraId="0B3CB5E2">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lang w:val="en-US" w:eastAsia="zh-CN"/>
        </w:rPr>
      </w:pPr>
      <w:r>
        <w:rPr>
          <w:rFonts w:hint="eastAsia" w:ascii="方正黑体_GBK" w:hAnsi="方正黑体_GBK" w:eastAsia="方正黑体_GBK" w:cs="方正黑体_GBK"/>
          <w:sz w:val="24"/>
          <w:szCs w:val="24"/>
          <w:lang w:val="en-US" w:eastAsia="zh-CN"/>
        </w:rPr>
        <w:t>托运方：</w:t>
      </w:r>
      <w:r>
        <w:rPr>
          <w:rFonts w:hint="eastAsia" w:asciiTheme="minorEastAsia" w:hAnsiTheme="minorEastAsia" w:eastAsiaTheme="minorEastAsia" w:cstheme="minorEastAsia"/>
          <w:sz w:val="24"/>
          <w:szCs w:val="24"/>
          <w:u w:val="single"/>
          <w:lang w:val="en-US" w:eastAsia="zh-CN"/>
        </w:rPr>
        <w:t>重庆储备粮管理集团有限公司梁平分公司</w:t>
      </w:r>
      <w:r>
        <w:rPr>
          <w:rFonts w:hint="eastAsia" w:asciiTheme="minorEastAsia" w:hAnsiTheme="minorEastAsia" w:eastAsiaTheme="minorEastAsia" w:cstheme="minorEastAsia"/>
          <w:sz w:val="24"/>
          <w:szCs w:val="24"/>
          <w:lang w:val="en-US" w:eastAsia="zh-CN"/>
        </w:rPr>
        <w:t>（以下简称甲方）</w:t>
      </w:r>
    </w:p>
    <w:p w14:paraId="10CE75E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统一社会信用代码：91500155MAE59HMQ5N</w:t>
      </w:r>
    </w:p>
    <w:p w14:paraId="239316F4">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主要负责人：</w:t>
      </w:r>
    </w:p>
    <w:p w14:paraId="23C3027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联系地址：</w:t>
      </w:r>
    </w:p>
    <w:p w14:paraId="5D2345E4">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项目联系人：</w:t>
      </w:r>
    </w:p>
    <w:p w14:paraId="1215CB1F">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电话或电子邮件：</w:t>
      </w:r>
    </w:p>
    <w:p w14:paraId="0FDC9C9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方正黑体_GBK" w:hAnsi="方正黑体_GBK" w:eastAsia="方正黑体_GBK" w:cs="方正黑体_GBK"/>
          <w:sz w:val="24"/>
          <w:szCs w:val="24"/>
          <w:lang w:val="en-US" w:eastAsia="zh-CN"/>
        </w:rPr>
      </w:pPr>
    </w:p>
    <w:p w14:paraId="4340C99A">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lang w:val="en-US" w:eastAsia="zh-CN"/>
        </w:rPr>
      </w:pPr>
      <w:r>
        <w:rPr>
          <w:rFonts w:hint="eastAsia" w:ascii="方正黑体_GBK" w:hAnsi="方正黑体_GBK" w:eastAsia="方正黑体_GBK" w:cs="方正黑体_GBK"/>
          <w:sz w:val="24"/>
          <w:szCs w:val="24"/>
          <w:lang w:val="en-US" w:eastAsia="zh-CN"/>
        </w:rPr>
        <w:t>承运方：</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（以下简称乙方）</w:t>
      </w:r>
    </w:p>
    <w:p w14:paraId="7A7FD0F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统一社会信用代码：</w:t>
      </w:r>
    </w:p>
    <w:p w14:paraId="3F89FBE3">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法定代表人：</w:t>
      </w:r>
    </w:p>
    <w:p w14:paraId="1AF77D2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联系地址：</w:t>
      </w:r>
    </w:p>
    <w:p w14:paraId="6AF78DBD">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项目联系人：</w:t>
      </w:r>
    </w:p>
    <w:p w14:paraId="4405766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电话或电子邮件：</w:t>
      </w:r>
    </w:p>
    <w:p w14:paraId="51A3A002">
      <w:pPr>
        <w:keepNext w:val="0"/>
        <w:keepLines w:val="0"/>
        <w:widowControl/>
        <w:suppressLineNumbers w:val="0"/>
        <w:spacing w:line="380" w:lineRule="exact"/>
        <w:ind w:firstLine="480" w:firstLineChars="200"/>
        <w:jc w:val="left"/>
        <w:rPr>
          <w:rFonts w:hint="eastAsia" w:asciiTheme="minorEastAsia" w:hAnsiTheme="minorEastAsia" w:eastAsiaTheme="minorEastAsia" w:cstheme="minorEastAsia"/>
          <w:sz w:val="24"/>
          <w:szCs w:val="24"/>
          <w:lang w:val="en-US" w:eastAsia="zh-CN"/>
        </w:rPr>
      </w:pPr>
    </w:p>
    <w:p w14:paraId="2BE0A164">
      <w:pPr>
        <w:keepNext w:val="0"/>
        <w:keepLines w:val="0"/>
        <w:widowControl/>
        <w:suppressLineNumbers w:val="0"/>
        <w:spacing w:line="380" w:lineRule="exact"/>
        <w:ind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甲乙双方的统一社会信用代码、营业执照、开户信息、法定代表人（主要负责人）身份证明书及身份证复印件、签约代表授权委托书及身份证复印件，以及道路运输经营许可证复印件等为本合同附件；双方一致确认上述地址（包括电子邮件送达）为双方送达相关文书的确认地址，如地址变更应书面向对方进行变更登记告知，否则一方按上述约定地址或电子邮箱送达均视为对方接收。</w:t>
      </w:r>
    </w:p>
    <w:p w14:paraId="1FAF125D">
      <w:pPr>
        <w:keepNext w:val="0"/>
        <w:keepLines w:val="0"/>
        <w:widowControl/>
        <w:suppressLineNumbers w:val="0"/>
        <w:spacing w:line="380" w:lineRule="exact"/>
        <w:ind w:firstLine="480" w:firstLineChars="200"/>
        <w:jc w:val="left"/>
        <w:rPr>
          <w:rFonts w:hint="eastAsia" w:asciiTheme="minorEastAsia" w:hAnsiTheme="minorEastAsia" w:eastAsiaTheme="minorEastAsia" w:cstheme="minorEastAsia"/>
          <w:sz w:val="24"/>
          <w:szCs w:val="24"/>
          <w:lang w:val="en-US" w:eastAsia="zh-CN"/>
        </w:rPr>
      </w:pPr>
    </w:p>
    <w:p w14:paraId="4F4D74F0">
      <w:pPr>
        <w:keepNext w:val="0"/>
        <w:keepLines w:val="0"/>
        <w:widowControl/>
        <w:suppressLineNumbers w:val="0"/>
        <w:spacing w:line="380" w:lineRule="exact"/>
        <w:ind w:firstLine="480" w:firstLineChars="200"/>
        <w:jc w:val="left"/>
        <w:rPr>
          <w:rFonts w:asciiTheme="minorHAnsi" w:hAnsiTheme="minorHAnsi" w:cstheme="minorBidi"/>
          <w:sz w:val="24"/>
          <w:szCs w:val="24"/>
        </w:rPr>
      </w:pPr>
      <w:r>
        <w:rPr>
          <w:rFonts w:hint="eastAsia" w:asciiTheme="minorEastAsia" w:hAnsiTheme="minorEastAsia" w:eastAsiaTheme="minorEastAsia" w:cstheme="minorEastAsia"/>
          <w:sz w:val="24"/>
          <w:szCs w:val="24"/>
          <w:lang w:val="en-US" w:eastAsia="zh-CN"/>
        </w:rPr>
        <w:t>甲方有货物运输需求，乙方具备相应能力</w:t>
      </w:r>
      <w:r>
        <w:rPr>
          <w:rFonts w:ascii="宋体" w:hAnsi="宋体" w:eastAsia="宋体" w:cs="宋体"/>
          <w:kern w:val="0"/>
          <w:sz w:val="24"/>
          <w:szCs w:val="24"/>
          <w:lang w:val="en-US" w:eastAsia="zh-CN" w:bidi="ar"/>
        </w:rPr>
        <w:t>为甲方提供货物运输服务</w:t>
      </w:r>
      <w:r>
        <w:rPr>
          <w:rFonts w:hint="eastAsia" w:asciiTheme="minorEastAsia" w:hAnsiTheme="minorEastAsia" w:eastAsiaTheme="minorEastAsia" w:cstheme="minorEastAsia"/>
          <w:sz w:val="24"/>
          <w:szCs w:val="24"/>
          <w:lang w:val="en-US" w:eastAsia="zh-CN"/>
        </w:rPr>
        <w:t>，通过公开询价比选，确定乙方为甲方</w:t>
      </w:r>
      <w:r>
        <w:rPr>
          <w:rFonts w:hint="eastAsia" w:asciiTheme="minorEastAsia" w:hAnsiTheme="minorEastAsia" w:eastAsiaTheme="minorEastAsia" w:cstheme="minorEastAsia"/>
          <w:b w:val="0"/>
          <w:bCs w:val="0"/>
          <w:kern w:val="2"/>
          <w:sz w:val="24"/>
          <w:szCs w:val="24"/>
          <w:lang w:val="en-US" w:eastAsia="zh-CN"/>
        </w:rPr>
        <w:t>短途</w:t>
      </w:r>
      <w:r>
        <w:rPr>
          <w:rFonts w:hint="eastAsia" w:asciiTheme="minorEastAsia" w:hAnsiTheme="minorEastAsia" w:eastAsiaTheme="minorEastAsia" w:cstheme="minorEastAsia"/>
          <w:b w:val="0"/>
          <w:bCs w:val="0"/>
          <w:kern w:val="2"/>
          <w:sz w:val="24"/>
          <w:szCs w:val="24"/>
        </w:rPr>
        <w:t>运输</w:t>
      </w:r>
      <w:r>
        <w:rPr>
          <w:rFonts w:hint="eastAsia" w:asciiTheme="minorEastAsia" w:hAnsiTheme="minorEastAsia" w:eastAsiaTheme="minorEastAsia" w:cstheme="minorEastAsia"/>
          <w:b w:val="0"/>
          <w:bCs w:val="0"/>
          <w:kern w:val="2"/>
          <w:sz w:val="24"/>
          <w:szCs w:val="24"/>
          <w:lang w:val="en-US" w:eastAsia="zh-CN"/>
        </w:rPr>
        <w:t>项目的中选人，</w:t>
      </w:r>
      <w:r>
        <w:rPr>
          <w:rFonts w:hint="eastAsia" w:asciiTheme="minorEastAsia" w:hAnsiTheme="minorEastAsia" w:eastAsiaTheme="minorEastAsia" w:cstheme="minorEastAsia"/>
          <w:sz w:val="24"/>
          <w:szCs w:val="24"/>
          <w:lang w:val="en-US" w:eastAsia="zh-CN"/>
        </w:rPr>
        <w:t>根据《中华人民共和国民法典》、《中华人民共和国道路交通安全法》</w:t>
      </w:r>
      <w:r>
        <w:rPr>
          <w:rFonts w:hint="eastAsia" w:asciiTheme="minorEastAsia" w:hAnsiTheme="minorEastAsia" w:eastAsiaTheme="minorEastAsia" w:cstheme="minorEastAsia"/>
          <w:kern w:val="2"/>
          <w:sz w:val="24"/>
          <w:szCs w:val="24"/>
          <w:lang w:val="en-US" w:eastAsia="zh-CN" w:bidi="ar"/>
        </w:rPr>
        <w:t>及有关法律、法规的规定，就货物运输服务有关事项协商一致，</w:t>
      </w:r>
      <w:r>
        <w:rPr>
          <w:rFonts w:hint="eastAsia" w:asciiTheme="minorEastAsia" w:hAnsiTheme="minorEastAsia" w:eastAsiaTheme="minorEastAsia" w:cstheme="minorEastAsia"/>
          <w:sz w:val="24"/>
          <w:szCs w:val="24"/>
          <w:lang w:val="en-US" w:eastAsia="zh-CN"/>
        </w:rPr>
        <w:t>在平等自愿的基础上，特订立本合同，以资双方共同遵守。</w:t>
      </w:r>
    </w:p>
    <w:p w14:paraId="1BC1F97D">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一、标的物信息</w:t>
      </w:r>
    </w:p>
    <w:p w14:paraId="6BBAAA2C">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货物名称为稻谷；数量约1500吨。</w:t>
      </w:r>
    </w:p>
    <w:p w14:paraId="26CC98B9">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二、运输方式及路线</w:t>
      </w:r>
    </w:p>
    <w:p w14:paraId="427CF5A4">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（一）运输方式：公路运输（汽运）。</w:t>
      </w:r>
    </w:p>
    <w:p w14:paraId="1A195AB8">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（二）运输路线：由乙方根据货物的起运地和目的地，结合实际情况选择最优运输路线。甲方有权对运输路线提出合理建议，但最终决定权在乙方。</w:t>
      </w:r>
    </w:p>
    <w:p w14:paraId="5CD7819D">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（三）运输起止地点：在甲方梁平储备库稻谷装车运输至</w:t>
      </w:r>
      <w:r>
        <w:rPr>
          <w:rFonts w:hint="eastAsia" w:asciiTheme="majorEastAsia" w:hAnsiTheme="majorEastAsia" w:eastAsiaTheme="majorEastAsia" w:cstheme="majorEastAsia"/>
          <w:b/>
          <w:bCs/>
          <w:sz w:val="24"/>
          <w:szCs w:val="24"/>
          <w:lang w:val="en-US" w:eastAsia="zh-CN"/>
        </w:rPr>
        <w:t>长寿储备库</w:t>
      </w:r>
      <w:r>
        <w:rPr>
          <w:rFonts w:hint="eastAsia" w:asciiTheme="majorEastAsia" w:hAnsiTheme="majorEastAsia" w:eastAsiaTheme="majorEastAsia" w:cstheme="majorEastAsia"/>
          <w:sz w:val="24"/>
          <w:szCs w:val="24"/>
          <w:lang w:val="en-US" w:eastAsia="zh-CN"/>
        </w:rPr>
        <w:t>（单程约为100公里）。</w:t>
      </w:r>
    </w:p>
    <w:p w14:paraId="57C501C8">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三、货物形态及运输工具要求</w:t>
      </w:r>
    </w:p>
    <w:p w14:paraId="54918F01">
      <w:pPr>
        <w:keepNext w:val="0"/>
        <w:keepLines w:val="0"/>
        <w:widowControl/>
        <w:suppressLineNumbers w:val="0"/>
        <w:spacing w:line="380" w:lineRule="exact"/>
        <w:ind w:firstLine="480" w:firstLineChars="200"/>
        <w:jc w:val="left"/>
        <w:rPr>
          <w:rFonts w:hint="default" w:ascii="宋体" w:hAnsi="宋体" w:eastAsia="宋体" w:cs="宋体"/>
          <w:kern w:val="0"/>
          <w:sz w:val="24"/>
          <w:szCs w:val="24"/>
          <w:lang w:val="en-US" w:eastAsia="zh-CN" w:bidi="ar"/>
        </w:rPr>
      </w:pPr>
      <w:r>
        <w:rPr>
          <w:rFonts w:hint="eastAsia" w:asciiTheme="minorEastAsia" w:hAnsiTheme="minorEastAsia" w:eastAsiaTheme="minorEastAsia" w:cstheme="minorEastAsia"/>
          <w:sz w:val="24"/>
          <w:szCs w:val="24"/>
          <w:lang w:val="en-US" w:eastAsia="zh-CN"/>
        </w:rPr>
        <w:t>甲方</w:t>
      </w:r>
      <w:r>
        <w:rPr>
          <w:rFonts w:ascii="宋体" w:hAnsi="宋体" w:eastAsia="宋体" w:cs="宋体"/>
          <w:color w:val="505050"/>
          <w:kern w:val="0"/>
          <w:sz w:val="24"/>
          <w:szCs w:val="24"/>
          <w:lang w:val="en-US" w:eastAsia="zh-CN" w:bidi="ar"/>
        </w:rPr>
        <w:t>委托乙方</w:t>
      </w:r>
      <w:r>
        <w:rPr>
          <w:rFonts w:hint="eastAsia" w:asciiTheme="minorEastAsia" w:hAnsiTheme="minorEastAsia" w:eastAsiaTheme="minorEastAsia" w:cstheme="minorEastAsia"/>
          <w:sz w:val="24"/>
          <w:szCs w:val="24"/>
          <w:lang w:val="en-US" w:eastAsia="zh-CN"/>
        </w:rPr>
        <w:t>托运的稻谷为散装，</w:t>
      </w:r>
      <w:r>
        <w:rPr>
          <w:rFonts w:ascii="宋体" w:hAnsi="宋体" w:eastAsia="宋体" w:cs="宋体"/>
          <w:kern w:val="0"/>
          <w:sz w:val="24"/>
          <w:szCs w:val="24"/>
          <w:lang w:val="en-US" w:eastAsia="zh-CN" w:bidi="ar"/>
        </w:rPr>
        <w:t>乙方所提供的车辆必须是</w:t>
      </w:r>
      <w:r>
        <w:rPr>
          <w:rFonts w:hint="eastAsia" w:ascii="宋体" w:hAnsi="宋体" w:eastAsia="宋体" w:cs="宋体"/>
          <w:kern w:val="0"/>
          <w:sz w:val="24"/>
          <w:szCs w:val="24"/>
          <w:lang w:val="en-US" w:eastAsia="zh-CN" w:bidi="ar"/>
        </w:rPr>
        <w:t>车况、</w:t>
      </w:r>
      <w:r>
        <w:rPr>
          <w:rFonts w:ascii="宋体" w:hAnsi="宋体" w:eastAsia="宋体" w:cs="宋体"/>
          <w:kern w:val="0"/>
          <w:sz w:val="24"/>
          <w:szCs w:val="24"/>
          <w:lang w:val="en-US" w:eastAsia="zh-CN" w:bidi="ar"/>
        </w:rPr>
        <w:t>技术性能良好，证照齐全、合法、有效，并购买了交强险、商业险、物流责任险</w:t>
      </w:r>
      <w:r>
        <w:rPr>
          <w:rFonts w:hint="eastAsia" w:ascii="宋体" w:hAnsi="宋体" w:eastAsia="宋体" w:cs="宋体"/>
          <w:kern w:val="0"/>
          <w:sz w:val="24"/>
          <w:szCs w:val="24"/>
          <w:lang w:val="en-US" w:eastAsia="zh-CN" w:bidi="ar"/>
        </w:rPr>
        <w:t>；</w:t>
      </w:r>
      <w:r>
        <w:rPr>
          <w:rFonts w:hint="eastAsia" w:asciiTheme="minorEastAsia" w:hAnsiTheme="minorEastAsia" w:eastAsiaTheme="minorEastAsia" w:cstheme="minorEastAsia"/>
          <w:sz w:val="24"/>
          <w:szCs w:val="24"/>
          <w:lang w:val="en-US" w:eastAsia="zh-CN"/>
        </w:rPr>
        <w:t>汽车货箱应符合国家卫生标准和装载安全要求，必须清洁</w:t>
      </w:r>
      <w:r>
        <w:rPr>
          <w:rFonts w:ascii="宋体" w:hAnsi="宋体" w:eastAsia="宋体" w:cs="宋体"/>
          <w:kern w:val="0"/>
          <w:sz w:val="24"/>
          <w:szCs w:val="24"/>
          <w:lang w:val="en-US" w:eastAsia="zh-CN" w:bidi="ar"/>
        </w:rPr>
        <w:t>、干燥、无异味、无有毒有害物质污染等安全卫生条件，运输过程防撒漏。</w:t>
      </w:r>
      <w:r>
        <w:rPr>
          <w:rFonts w:hint="eastAsia" w:ascii="宋体" w:hAnsi="宋体" w:eastAsia="宋体" w:cs="宋体"/>
          <w:kern w:val="0"/>
          <w:sz w:val="24"/>
          <w:szCs w:val="24"/>
          <w:lang w:val="en-US" w:eastAsia="zh-CN" w:bidi="ar"/>
        </w:rPr>
        <w:t>乙</w:t>
      </w:r>
      <w:r>
        <w:rPr>
          <w:rFonts w:ascii="宋体" w:hAnsi="宋体" w:eastAsia="宋体" w:cs="宋体"/>
          <w:kern w:val="0"/>
          <w:sz w:val="24"/>
          <w:szCs w:val="24"/>
          <w:lang w:val="en-US" w:eastAsia="zh-CN" w:bidi="ar"/>
        </w:rPr>
        <w:t>方</w:t>
      </w:r>
      <w:r>
        <w:rPr>
          <w:rFonts w:hint="eastAsia" w:ascii="宋体" w:hAnsi="宋体" w:eastAsia="宋体" w:cs="宋体"/>
          <w:kern w:val="0"/>
          <w:sz w:val="24"/>
          <w:szCs w:val="24"/>
          <w:lang w:val="en-US" w:eastAsia="zh-CN" w:bidi="ar"/>
        </w:rPr>
        <w:t>应根据</w:t>
      </w:r>
      <w:r>
        <w:rPr>
          <w:rFonts w:hint="eastAsia" w:asciiTheme="majorEastAsia" w:hAnsiTheme="majorEastAsia" w:eastAsiaTheme="majorEastAsia" w:cstheme="majorEastAsia"/>
          <w:sz w:val="24"/>
          <w:szCs w:val="24"/>
          <w:lang w:val="en-US" w:eastAsia="zh-CN"/>
        </w:rPr>
        <w:t>甲方梁平储备库地理条件情况选择适合的运输车辆。</w:t>
      </w:r>
    </w:p>
    <w:p w14:paraId="4DB6F326">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四、货物运输期限</w:t>
      </w:r>
    </w:p>
    <w:p w14:paraId="714DCA12">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z w:val="24"/>
          <w:szCs w:val="24"/>
          <w:lang w:val="en-US" w:eastAsia="zh-CN"/>
        </w:rPr>
        <w:t>期限17天。自2</w:t>
      </w:r>
      <w:r>
        <w:rPr>
          <w:rFonts w:hint="eastAsia" w:asciiTheme="minorEastAsia" w:hAnsiTheme="minorEastAsia" w:eastAsiaTheme="minorEastAsia" w:cstheme="minorEastAsia"/>
          <w:sz w:val="24"/>
          <w:szCs w:val="24"/>
          <w:lang w:val="en-US" w:eastAsia="zh-CN"/>
        </w:rPr>
        <w:t>025年10月15日至2025年10月31日止。</w:t>
      </w:r>
    </w:p>
    <w:p w14:paraId="67526BE5">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五、货运运输要求</w:t>
      </w:r>
    </w:p>
    <w:p w14:paraId="7555C11F">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（一）卸货点为长寿分公司长寿储备库处，乙方需安排能卸粮的车辆。</w:t>
      </w:r>
    </w:p>
    <w:p w14:paraId="5E75DA9B">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（二）乙方运输货物应选择不下雨天气进行，下雨天不能运输（特殊情况除外，但须及时做好雨蓬防水等处理），否则造成的损失由乙方全额赔偿。</w:t>
      </w:r>
    </w:p>
    <w:p w14:paraId="5A682960">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三）货物运输全过程中出现任何质量及差错事故、安全事故等以及用工纠纷后果均由乙方自行负责，并承担相应的法律责任和全部的经济赔偿（含经济补偿、罚款等），若由此给甲方以及第三方造成损失的，概由乙方承担一切经济赔偿责任和法律责任；乙方不得利用货物运输进行违法乱纪活动，若由此产生的责任一切均由乙方全部承担，与甲方无关。</w:t>
      </w:r>
    </w:p>
    <w:p w14:paraId="62115D82">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方正黑体_GBK" w:hAnsi="方正黑体_GBK" w:eastAsia="方正黑体_GBK" w:cs="方正黑体_GBK"/>
          <w:color w:val="auto"/>
          <w:sz w:val="24"/>
          <w:szCs w:val="24"/>
          <w:lang w:val="en-US" w:eastAsia="zh-CN"/>
        </w:rPr>
      </w:pPr>
      <w:r>
        <w:rPr>
          <w:rFonts w:hint="eastAsia" w:ascii="方正黑体_GBK" w:hAnsi="方正黑体_GBK" w:eastAsia="方正黑体_GBK" w:cs="方正黑体_GBK"/>
          <w:color w:val="auto"/>
          <w:sz w:val="24"/>
          <w:szCs w:val="24"/>
          <w:lang w:val="en-US" w:eastAsia="zh-CN"/>
        </w:rPr>
        <w:t>六、货物运输价格</w:t>
      </w:r>
    </w:p>
    <w:p w14:paraId="6FE39AA2">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运输费价格为</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lang w:val="en-US" w:eastAsia="zh-CN"/>
        </w:rPr>
        <w:t xml:space="preserve">元/吨（包含运输费、安全措施费、保险、税费等一切费用）。乙方确认报价和签约时已充分论证和考虑履行本合同的难度和风险，即结算时合同所约定单价不作任何调整。 </w:t>
      </w:r>
    </w:p>
    <w:p w14:paraId="7AC1F571">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方正黑体_GBK" w:hAnsi="方正黑体_GBK" w:eastAsia="方正黑体_GBK" w:cs="方正黑体_GBK"/>
          <w:color w:val="auto"/>
          <w:sz w:val="24"/>
          <w:szCs w:val="24"/>
          <w:lang w:val="en-US" w:eastAsia="zh-CN"/>
        </w:rPr>
      </w:pPr>
      <w:r>
        <w:rPr>
          <w:rFonts w:hint="eastAsia" w:ascii="方正黑体_GBK" w:hAnsi="方正黑体_GBK" w:eastAsia="方正黑体_GBK" w:cs="方正黑体_GBK"/>
          <w:color w:val="auto"/>
          <w:sz w:val="24"/>
          <w:szCs w:val="24"/>
          <w:lang w:val="en-US" w:eastAsia="zh-CN"/>
        </w:rPr>
        <w:t>七、费用结算及支付方式</w:t>
      </w:r>
    </w:p>
    <w:p w14:paraId="62A7C522">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按货物起运的实际数量结算（凭甲方相关人员及货物目的工作人员签字确认的票据（地磅单）为结算依据审核确认），乙方开具增值税专用发票（货物运输类）送达甲方，经甲方审核无误，乙方无违约行为后，在15个工作日内一次性支付运输费。乙方若提供的发票为假票、套票、不合规发票，乙方承担由此产生的所有经济和法律后果。</w:t>
      </w:r>
    </w:p>
    <w:p w14:paraId="5BF072C7">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firstLine="480" w:firstLineChars="200"/>
        <w:textAlignment w:val="auto"/>
        <w:rPr>
          <w:rFonts w:hint="eastAsia" w:ascii="方正黑体_GBK" w:hAnsi="方正黑体_GBK" w:eastAsia="方正黑体_GBK" w:cs="方正黑体_GBK"/>
          <w:color w:val="auto"/>
          <w:sz w:val="24"/>
          <w:szCs w:val="24"/>
          <w:lang w:val="en-US" w:eastAsia="zh-CN"/>
        </w:rPr>
      </w:pPr>
      <w:r>
        <w:rPr>
          <w:rFonts w:hint="eastAsia" w:ascii="方正黑体_GBK" w:hAnsi="方正黑体_GBK" w:eastAsia="方正黑体_GBK" w:cs="方正黑体_GBK"/>
          <w:color w:val="auto"/>
          <w:sz w:val="24"/>
          <w:szCs w:val="24"/>
          <w:lang w:val="en-US" w:eastAsia="zh-CN"/>
        </w:rPr>
        <w:t>履约保证金</w:t>
      </w:r>
    </w:p>
    <w:p w14:paraId="5AE57742">
      <w:pPr>
        <w:widowControl w:val="0"/>
        <w:numPr>
          <w:ilvl w:val="-1"/>
          <w:numId w:val="0"/>
        </w:numPr>
        <w:spacing w:line="380" w:lineRule="exact"/>
        <w:jc w:val="both"/>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 xml:space="preserve">   人民币4000.00元，签订合同前以银行转账方式转入甲方指定账户。</w:t>
      </w:r>
    </w:p>
    <w:p w14:paraId="5BA00892">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方正黑体_GBK" w:hAnsi="方正黑体_GBK" w:eastAsia="方正黑体_GBK" w:cs="方正黑体_GBK"/>
          <w:color w:val="auto"/>
          <w:sz w:val="24"/>
          <w:szCs w:val="24"/>
          <w:lang w:val="en-US" w:eastAsia="zh-CN"/>
        </w:rPr>
      </w:pPr>
      <w:r>
        <w:rPr>
          <w:rFonts w:hint="eastAsia" w:ascii="方正黑体_GBK" w:hAnsi="方正黑体_GBK" w:eastAsia="方正黑体_GBK" w:cs="方正黑体_GBK"/>
          <w:color w:val="auto"/>
          <w:sz w:val="24"/>
          <w:szCs w:val="24"/>
          <w:lang w:val="en-US" w:eastAsia="zh-CN"/>
        </w:rPr>
        <w:t>九、权力与义务</w:t>
      </w:r>
    </w:p>
    <w:p w14:paraId="2B00D989">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（一）甲方的权力与义务</w:t>
      </w:r>
    </w:p>
    <w:p w14:paraId="5DB62E3B">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1.甲方根据收购量情况，对货物进行分批次运输，每批次无法确定具体时间，故甲方提前1天向乙方提出装载和用车计划（通知方式：电话、微信、短信均可）。</w:t>
      </w:r>
    </w:p>
    <w:p w14:paraId="77157C64">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2.甲方配合完成货物的装车工作。甲方可以随时向乙方查询运输货物的在途情况。</w:t>
      </w:r>
    </w:p>
    <w:p w14:paraId="64E64E07">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3.甲方应当按照约定及时向乙方支付运输费用。</w:t>
      </w:r>
    </w:p>
    <w:p w14:paraId="6560D75D">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（二）乙方的权力与义务</w:t>
      </w:r>
    </w:p>
    <w:p w14:paraId="7B5F6F3C">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乙方接到甲方发货任务通知后，按照甲方的运输计划及时安排好装载工具和符合要求的运输车辆，及时答复并明确告知甲方所安排的车辆号码、司机姓名、移动电话等，并保证车辆按时到甲方指定地点装车。若甲方用车指令下达后乙方未完成车辆调度且未与甲方主动反映情况并未给予合理解释的视为拒运，视为违约（不可抗拒的特殊情形除外）。</w:t>
      </w:r>
    </w:p>
    <w:p w14:paraId="276F215C">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2.按照甲方的运输计划及到达时间安全将承运货物运输到达目的地。</w:t>
      </w:r>
    </w:p>
    <w:p w14:paraId="717A5486">
      <w:pPr>
        <w:widowControl w:val="0"/>
        <w:spacing w:line="380" w:lineRule="exact"/>
        <w:ind w:firstLine="480" w:firstLineChars="200"/>
        <w:jc w:val="both"/>
        <w:rPr>
          <w:rFonts w:hint="default" w:eastAsia="方正仿宋_GBK" w:asciiTheme="minorHAnsi" w:hAnsiTheme="minorHAnsi" w:cstheme="minorBidi"/>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乙方承担货物运输全过程涉及的所有安全责任（不限于空车前往装货地、货物运输途中、空车返回等），一切均与甲方无关。</w:t>
      </w:r>
    </w:p>
    <w:p w14:paraId="41AA607D">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4.每批货物装载上车，运输途中，乙方对其货物丢失、毁损等全权负责，保证货物无短缺、无损坏、无超损耗、无变质、无污染等，如果出现上述问题，乙方必须全额赔偿。</w:t>
      </w:r>
    </w:p>
    <w:p w14:paraId="4365AB81">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方正黑体_GBK" w:hAnsi="方正黑体_GBK" w:eastAsia="方正黑体_GBK" w:cs="方正黑体_GBK"/>
          <w:color w:val="auto"/>
          <w:sz w:val="24"/>
          <w:szCs w:val="24"/>
          <w:lang w:val="en-US" w:eastAsia="zh-CN"/>
        </w:rPr>
      </w:pPr>
      <w:r>
        <w:rPr>
          <w:rFonts w:hint="eastAsia" w:ascii="方正黑体_GBK" w:hAnsi="方正黑体_GBK" w:eastAsia="方正黑体_GBK" w:cs="方正黑体_GBK"/>
          <w:color w:val="auto"/>
          <w:sz w:val="24"/>
          <w:szCs w:val="24"/>
          <w:lang w:val="en-US" w:eastAsia="zh-CN"/>
        </w:rPr>
        <w:t>十、违约责任</w:t>
      </w:r>
    </w:p>
    <w:p w14:paraId="26ECB2A6">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任何方有违约行为（包括无故终止或解除合同等），则承担违约金10000元，并赔偿损失（损失包括但不限于诉讼费、保全费、律师费等）。</w:t>
      </w:r>
    </w:p>
    <w:p w14:paraId="0E8DFC4D">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方正黑体_GBK" w:hAnsi="方正黑体_GBK" w:eastAsia="方正黑体_GBK" w:cs="方正黑体_GBK"/>
          <w:color w:val="auto"/>
          <w:sz w:val="24"/>
          <w:szCs w:val="24"/>
          <w:lang w:val="en-US" w:eastAsia="zh-CN"/>
        </w:rPr>
      </w:pPr>
      <w:r>
        <w:rPr>
          <w:rFonts w:hint="eastAsia" w:ascii="方正黑体_GBK" w:hAnsi="方正黑体_GBK" w:eastAsia="方正黑体_GBK" w:cs="方正黑体_GBK"/>
          <w:color w:val="auto"/>
          <w:sz w:val="24"/>
          <w:szCs w:val="24"/>
          <w:lang w:val="en-US" w:eastAsia="zh-CN"/>
        </w:rPr>
        <w:t>十一、其它</w:t>
      </w:r>
    </w:p>
    <w:p w14:paraId="7532D6EB">
      <w:pPr>
        <w:keepNext w:val="0"/>
        <w:keepLines w:val="0"/>
        <w:widowControl/>
        <w:suppressLineNumbers w:val="0"/>
        <w:spacing w:line="380" w:lineRule="exact"/>
        <w:ind w:firstLine="480" w:firstLineChars="200"/>
        <w:jc w:val="left"/>
        <w:rPr>
          <w:rFonts w:asciiTheme="minorHAnsi" w:hAnsiTheme="minorHAnsi" w:cstheme="minorBidi"/>
          <w:color w:val="auto"/>
          <w:szCs w:val="24"/>
        </w:rPr>
      </w:pPr>
      <w:r>
        <w:rPr>
          <w:rFonts w:hint="eastAsia" w:asciiTheme="minorEastAsia" w:hAnsiTheme="minorEastAsia" w:eastAsiaTheme="minorEastAsia" w:cstheme="minorEastAsia"/>
          <w:color w:val="auto"/>
          <w:sz w:val="24"/>
          <w:szCs w:val="24"/>
          <w:lang w:val="en-US" w:eastAsia="zh-CN"/>
        </w:rPr>
        <w:t>（一）</w:t>
      </w:r>
      <w:r>
        <w:rPr>
          <w:rFonts w:ascii="宋体" w:hAnsi="宋体" w:eastAsia="宋体" w:cs="宋体"/>
          <w:color w:val="auto"/>
          <w:kern w:val="0"/>
          <w:sz w:val="24"/>
          <w:szCs w:val="24"/>
          <w:lang w:val="en-US" w:eastAsia="zh-CN" w:bidi="ar"/>
        </w:rPr>
        <w:t>乙方应具有完成本合同项下服务的法定资质，确保承运车辆证件齐全，</w:t>
      </w:r>
      <w:r>
        <w:rPr>
          <w:rFonts w:hint="eastAsia" w:ascii="宋体" w:hAnsi="宋体" w:eastAsia="宋体" w:cs="宋体"/>
          <w:color w:val="auto"/>
          <w:kern w:val="0"/>
          <w:sz w:val="24"/>
          <w:szCs w:val="24"/>
          <w:lang w:val="en-US" w:eastAsia="zh-CN" w:bidi="ar"/>
        </w:rPr>
        <w:t>保证所派车辆性能良好；所派司机身体健康、不酗酒、具有丰富的驾驶经验，并承担货物自接收时起至交付甲方收货人签收前的一切风险和责任。</w:t>
      </w:r>
    </w:p>
    <w:p w14:paraId="31C56A2D">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（二）乙方应在运输能力、运输时间及运输安全可靠性等方面满足甲方的要求，并根据甲方的运量快速配备运输工具，确保运输服务质量。</w:t>
      </w:r>
    </w:p>
    <w:p w14:paraId="7D4B4A5C">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（三）乙方在接到甲方运输业务委托时，应严格按照甲方的委托事项按时按质按量完成道路运输任务，并对甲方的运输业务全过程安全负责。</w:t>
      </w:r>
    </w:p>
    <w:p w14:paraId="3B17A82E">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四）严格执行《粮食流通管理条例》、《关于印发&lt;粮食运输技术指南（试行）&gt;的通知》（国粮仓〔2023〕136号）等有关规定，参照《国家粮食储备局粮食运输管理规则（试行）》，本合同约定运输损耗为2‰，每批次在该损耗范围内应由甲方承担，超出部分由乙方承担责任。</w:t>
      </w:r>
    </w:p>
    <w:p w14:paraId="3ADDAA42">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五）乙方驾驶人员对每批次的货物交付。当批货物运输到目的地后进行过磅计量核对，并在过磅单等票据上签字予以确认，及时将过磅单等票据交回甲方工作人员。甲方凭乙方交回的过磅单等票据按照本合同第七款与乙方结算运费，如发生过磅单等票据丢失应及时补回，否则甲方除可以拒付运费外，并可以要求乙方赔偿货物损失。</w:t>
      </w:r>
    </w:p>
    <w:p w14:paraId="4FC37FEC">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（六）每批次货物运输到目的地后，由收货方进行货物验收，验收合格后，组织卸车入库工作，如果该批货物需要整理除杂等，乙方必须配合，甲方不再支付任何额外费用。</w:t>
      </w:r>
    </w:p>
    <w:p w14:paraId="1C563C85">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七）乙方承诺并声明：乙方驾驶人员个人为乙方履行本合同提供连带保证责任，乙方签订本协议前已经征得乙方驾驶人员同意，为本合同提供连带担保责任；乙方驾驶人员在每次承担运输任务时，在甲方货物票据上签字行为，即表示自愿为乙方履行本合同向甲方提供前述连带担保责任；担保范围包括但不限于损失、货物差损、安全运输、目的地交付、验收、违约等责任和经济负担。</w:t>
      </w:r>
    </w:p>
    <w:p w14:paraId="4280CF66">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方正黑体_GBK" w:hAnsi="方正黑体_GBK" w:eastAsia="方正黑体_GBK" w:cs="方正黑体_GBK"/>
          <w:color w:val="auto"/>
          <w:sz w:val="24"/>
          <w:szCs w:val="24"/>
          <w:lang w:val="en-US" w:eastAsia="zh-CN"/>
        </w:rPr>
      </w:pPr>
      <w:r>
        <w:rPr>
          <w:rFonts w:hint="eastAsia" w:ascii="方正黑体_GBK" w:hAnsi="方正黑体_GBK" w:eastAsia="方正黑体_GBK" w:cs="方正黑体_GBK"/>
          <w:color w:val="auto"/>
          <w:sz w:val="24"/>
          <w:szCs w:val="24"/>
          <w:lang w:val="en-US" w:eastAsia="zh-CN"/>
        </w:rPr>
        <w:t>十二、争议解决</w:t>
      </w:r>
    </w:p>
    <w:p w14:paraId="5A4AD65A">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本合同如发生争议，可以协商解决，也可以订立补充条款，若协商不成，双方均可向重庆市梁平区人民法院提起诉讼。</w:t>
      </w:r>
    </w:p>
    <w:p w14:paraId="3629D34B">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方正黑体_GBK" w:hAnsi="方正黑体_GBK" w:eastAsia="方正黑体_GBK" w:cs="方正黑体_GBK"/>
          <w:color w:val="auto"/>
          <w:sz w:val="24"/>
          <w:szCs w:val="24"/>
          <w:lang w:val="en-US" w:eastAsia="zh-CN"/>
        </w:rPr>
      </w:pPr>
      <w:r>
        <w:rPr>
          <w:rFonts w:hint="eastAsia" w:ascii="方正黑体_GBK" w:hAnsi="方正黑体_GBK" w:eastAsia="方正黑体_GBK" w:cs="方正黑体_GBK"/>
          <w:color w:val="auto"/>
          <w:sz w:val="24"/>
          <w:szCs w:val="24"/>
          <w:lang w:val="en-US" w:eastAsia="zh-CN"/>
        </w:rPr>
        <w:t>十三、合同份数</w:t>
      </w:r>
    </w:p>
    <w:p w14:paraId="6FCA7C11">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本合同一式肆份，甲方叁份，乙方一份，双方签名并盖章后生效，具有同等的法律效力。</w:t>
      </w:r>
    </w:p>
    <w:p w14:paraId="61B7C7E0">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以下无正文。 </w:t>
      </w:r>
    </w:p>
    <w:p w14:paraId="0A5EFEDB">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p>
    <w:p w14:paraId="298CD1EF">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p>
    <w:p w14:paraId="645BA6E7">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甲方（盖章）：重庆储备粮管理集团         乙方（盖章）：</w:t>
      </w:r>
    </w:p>
    <w:p w14:paraId="5BDA6481">
      <w:pPr>
        <w:keepNext w:val="0"/>
        <w:keepLines w:val="0"/>
        <w:pageBreakBefore w:val="0"/>
        <w:widowControl w:val="0"/>
        <w:kinsoku/>
        <w:wordWrap/>
        <w:overflowPunct/>
        <w:topLinePunct w:val="0"/>
        <w:autoSpaceDE/>
        <w:autoSpaceDN/>
        <w:bidi w:val="0"/>
        <w:adjustRightInd/>
        <w:snapToGrid/>
        <w:spacing w:line="380" w:lineRule="exact"/>
        <w:ind w:firstLine="1680" w:firstLineChars="7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4"/>
          <w:szCs w:val="24"/>
          <w:lang w:val="en-US" w:eastAsia="zh-CN"/>
        </w:rPr>
        <w:t xml:space="preserve">有限公司梁平分公司 </w:t>
      </w:r>
      <w:r>
        <w:rPr>
          <w:rFonts w:hint="eastAsia" w:asciiTheme="minorEastAsia" w:hAnsiTheme="minorEastAsia" w:eastAsiaTheme="minorEastAsia" w:cstheme="minorEastAsia"/>
          <w:color w:val="auto"/>
          <w:sz w:val="28"/>
          <w:szCs w:val="28"/>
          <w:lang w:val="en-US" w:eastAsia="zh-CN"/>
        </w:rPr>
        <w:t xml:space="preserve">          </w:t>
      </w:r>
    </w:p>
    <w:p w14:paraId="30DFF582">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主要负责人：                            法定代表人：</w:t>
      </w:r>
    </w:p>
    <w:p w14:paraId="0ADC178C">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color w:val="auto"/>
          <w:sz w:val="24"/>
          <w:szCs w:val="24"/>
          <w:lang w:val="en-US" w:eastAsia="zh-CN"/>
        </w:rPr>
      </w:pPr>
    </w:p>
    <w:p w14:paraId="165B446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经办人：                                委托代理人：</w:t>
      </w:r>
    </w:p>
    <w:p w14:paraId="01DAA644">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p>
    <w:p w14:paraId="3218725D">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开户银行：重庆三峡银行梁平支行          开户银行：</w:t>
      </w:r>
    </w:p>
    <w:p w14:paraId="047C409D">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银行账户：01511560015000611             银行账户：</w:t>
      </w:r>
    </w:p>
    <w:p w14:paraId="4B5BAA30">
      <w:pPr>
        <w:spacing w:line="380" w:lineRule="exact"/>
        <w:jc w:val="center"/>
        <w:rPr>
          <w:rFonts w:hint="eastAsia" w:asciiTheme="minorEastAsia" w:hAnsiTheme="minorEastAsia" w:eastAsiaTheme="minorEastAsia" w:cstheme="minorEastAsia"/>
          <w:sz w:val="24"/>
          <w:szCs w:val="24"/>
          <w:lang w:val="en-US" w:eastAsia="zh-CN"/>
        </w:rPr>
      </w:pPr>
    </w:p>
    <w:p w14:paraId="4573305F">
      <w:pPr>
        <w:keepNext w:val="0"/>
        <w:keepLines w:val="0"/>
        <w:pageBreakBefore w:val="0"/>
        <w:widowControl w:val="0"/>
        <w:kinsoku/>
        <w:wordWrap/>
        <w:overflowPunct/>
        <w:topLinePunct w:val="0"/>
        <w:bidi w:val="0"/>
        <w:snapToGrid/>
        <w:spacing w:line="380" w:lineRule="exact"/>
        <w:ind w:firstLine="0" w:firstLineChars="0"/>
        <w:jc w:val="left"/>
        <w:textAlignment w:val="auto"/>
        <w:rPr>
          <w:rFonts w:hint="eastAsia" w:ascii="Times New Roman" w:hAnsi="Times New Roman" w:eastAsia="方正仿宋_GBK" w:cs="Times New Roman"/>
          <w:sz w:val="32"/>
          <w:szCs w:val="32"/>
          <w:lang w:val="en-US" w:eastAsia="zh-CN"/>
        </w:rPr>
      </w:pPr>
      <w:r>
        <w:rPr>
          <w:rFonts w:hint="eastAsia" w:asciiTheme="minorEastAsia" w:hAnsiTheme="minorEastAsia" w:eastAsiaTheme="minorEastAsia" w:cstheme="minorEastAsia"/>
          <w:sz w:val="24"/>
          <w:szCs w:val="24"/>
          <w:lang w:val="en-US" w:eastAsia="zh-CN"/>
        </w:rPr>
        <w:t>签订时间： 2025年  月   日             签订地址：</w:t>
      </w:r>
    </w:p>
    <w:p w14:paraId="415116D1">
      <w:pPr>
        <w:pStyle w:val="2"/>
        <w:spacing w:beforeLines="0" w:afterLines="0" w:line="594" w:lineRule="exact"/>
        <w:ind w:firstLine="0" w:firstLineChars="0"/>
        <w:rPr>
          <w:rFonts w:hint="eastAsia" w:ascii="方正黑体_GBK" w:hAnsi="方正黑体_GBK" w:eastAsia="方正黑体_GBK" w:cs="方正黑体_GBK"/>
          <w:sz w:val="32"/>
          <w:szCs w:val="32"/>
          <w:lang w:val="en-US" w:eastAsia="zh-CN"/>
        </w:rPr>
      </w:pPr>
    </w:p>
    <w:p w14:paraId="7C80A0D2">
      <w:pPr>
        <w:spacing w:beforeLines="0" w:afterLines="0" w:line="594" w:lineRule="exact"/>
        <w:ind w:firstLine="0" w:firstLineChars="0"/>
        <w:rPr>
          <w:rFonts w:hint="eastAsia"/>
          <w:lang w:val="en-US" w:eastAsia="zh-CN"/>
        </w:rPr>
      </w:pPr>
    </w:p>
    <w:p w14:paraId="057D4E97">
      <w:pPr>
        <w:tabs>
          <w:tab w:val="left" w:pos="1759"/>
        </w:tabs>
        <w:spacing w:beforeLines="0" w:afterLines="0" w:line="594" w:lineRule="exact"/>
        <w:ind w:firstLine="0" w:firstLineChars="0"/>
        <w:jc w:val="left"/>
        <w:rPr>
          <w:rFonts w:hint="eastAsia"/>
          <w:lang w:val="en-US" w:eastAsia="zh-CN"/>
        </w:rPr>
      </w:pPr>
      <w:r>
        <w:rPr>
          <w:rFonts w:hint="eastAsia"/>
          <w:lang w:val="en-US" w:eastAsia="zh-CN"/>
        </w:rPr>
        <w:tab/>
      </w:r>
    </w:p>
    <w:p w14:paraId="2C072BC6">
      <w:pPr>
        <w:tabs>
          <w:tab w:val="left" w:pos="1759"/>
        </w:tabs>
        <w:spacing w:beforeLines="0" w:afterLines="0" w:line="594" w:lineRule="exact"/>
        <w:ind w:firstLine="0" w:firstLineChars="0"/>
        <w:jc w:val="left"/>
        <w:rPr>
          <w:rFonts w:hint="eastAsia"/>
          <w:lang w:val="en-US" w:eastAsia="zh-CN"/>
        </w:rPr>
      </w:pPr>
    </w:p>
    <w:sectPr>
      <w:headerReference r:id="rId3" w:type="default"/>
      <w:footerReference r:id="rId4" w:type="default"/>
      <w:pgSz w:w="11906" w:h="16838"/>
      <w:pgMar w:top="1984" w:right="1446" w:bottom="1644" w:left="1446" w:header="851" w:footer="1134" w:gutter="0"/>
      <w:pgNumType w:fmt="decimal" w:start="1"/>
      <w:cols w:space="0" w:num="1"/>
      <w:rtlGutter w:val="0"/>
      <w:docGrid w:type="linesAndChars" w:linePitch="6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方正黑体_GBK">
    <w:altName w:val="Arial Unicode MS"/>
    <w:panose1 w:val="03000509000000000000"/>
    <w:charset w:val="86"/>
    <w:family w:val="auto"/>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08B49">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E612D4">
                          <w:pPr>
                            <w:pStyle w:val="6"/>
                            <w:rPr>
                              <w:rFonts w:hint="eastAsia" w:eastAsia="方正仿宋_GBK"/>
                              <w:lang w:eastAsia="zh-CN"/>
                            </w:rPr>
                          </w:pPr>
                          <w:r>
                            <w:rPr>
                              <w:rFonts w:hint="eastAsia"/>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r>
                            <w:rPr>
                              <w:rFonts w:hint="eastAsia"/>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1E612D4">
                    <w:pPr>
                      <w:pStyle w:val="6"/>
                      <w:rPr>
                        <w:rFonts w:hint="eastAsia" w:eastAsia="方正仿宋_GBK"/>
                        <w:lang w:eastAsia="zh-CN"/>
                      </w:rPr>
                    </w:pPr>
                    <w:r>
                      <w:rPr>
                        <w:rFonts w:hint="eastAsia"/>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r>
                      <w:rPr>
                        <w:rFonts w:hint="eastAsia"/>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7878E">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295B57"/>
    <w:multiLevelType w:val="singleLevel"/>
    <w:tmpl w:val="95295B57"/>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HorizontalSpacing w:val="320"/>
  <w:drawingGridVerticalSpacing w:val="30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B6C46"/>
    <w:rsid w:val="00CF621A"/>
    <w:rsid w:val="017228B0"/>
    <w:rsid w:val="01924D17"/>
    <w:rsid w:val="037C1BC1"/>
    <w:rsid w:val="0440244F"/>
    <w:rsid w:val="049A645D"/>
    <w:rsid w:val="05A53C99"/>
    <w:rsid w:val="062A0EFC"/>
    <w:rsid w:val="06702176"/>
    <w:rsid w:val="07382211"/>
    <w:rsid w:val="07F86889"/>
    <w:rsid w:val="0804503F"/>
    <w:rsid w:val="081C52D3"/>
    <w:rsid w:val="0A2D09F0"/>
    <w:rsid w:val="0A564625"/>
    <w:rsid w:val="0A570BB0"/>
    <w:rsid w:val="0AC71F88"/>
    <w:rsid w:val="0B1118BF"/>
    <w:rsid w:val="0B16474C"/>
    <w:rsid w:val="0D2742D5"/>
    <w:rsid w:val="0E415684"/>
    <w:rsid w:val="0F37780B"/>
    <w:rsid w:val="103700A7"/>
    <w:rsid w:val="13BE661F"/>
    <w:rsid w:val="17212B02"/>
    <w:rsid w:val="178A1703"/>
    <w:rsid w:val="18EE6BD9"/>
    <w:rsid w:val="1B123B51"/>
    <w:rsid w:val="1B8C7AA6"/>
    <w:rsid w:val="1C7B4416"/>
    <w:rsid w:val="1D426790"/>
    <w:rsid w:val="1E73401E"/>
    <w:rsid w:val="1FCF45E5"/>
    <w:rsid w:val="221B5D19"/>
    <w:rsid w:val="224C0DB9"/>
    <w:rsid w:val="2267464D"/>
    <w:rsid w:val="23300078"/>
    <w:rsid w:val="24B71291"/>
    <w:rsid w:val="257956A6"/>
    <w:rsid w:val="26930878"/>
    <w:rsid w:val="27431723"/>
    <w:rsid w:val="27C71BA5"/>
    <w:rsid w:val="27E033DC"/>
    <w:rsid w:val="29FE3A99"/>
    <w:rsid w:val="2B231EA1"/>
    <w:rsid w:val="2E9D015D"/>
    <w:rsid w:val="2ECF5408"/>
    <w:rsid w:val="31062C80"/>
    <w:rsid w:val="31200FB6"/>
    <w:rsid w:val="315638AD"/>
    <w:rsid w:val="320B2330"/>
    <w:rsid w:val="32CC03F5"/>
    <w:rsid w:val="33055E95"/>
    <w:rsid w:val="34096A6F"/>
    <w:rsid w:val="348476FE"/>
    <w:rsid w:val="35055B58"/>
    <w:rsid w:val="36986A96"/>
    <w:rsid w:val="37BE6186"/>
    <w:rsid w:val="38AA0BC6"/>
    <w:rsid w:val="38AC796E"/>
    <w:rsid w:val="3A130CDC"/>
    <w:rsid w:val="3B2A5780"/>
    <w:rsid w:val="3BBC5AC0"/>
    <w:rsid w:val="3C8779FC"/>
    <w:rsid w:val="3E2579D0"/>
    <w:rsid w:val="3E964381"/>
    <w:rsid w:val="3ED81793"/>
    <w:rsid w:val="3F015816"/>
    <w:rsid w:val="3F0B081A"/>
    <w:rsid w:val="402A0F36"/>
    <w:rsid w:val="40A52AD7"/>
    <w:rsid w:val="41725C66"/>
    <w:rsid w:val="41BE4A23"/>
    <w:rsid w:val="42820F41"/>
    <w:rsid w:val="43107916"/>
    <w:rsid w:val="436A6057"/>
    <w:rsid w:val="44624B13"/>
    <w:rsid w:val="45AD70C3"/>
    <w:rsid w:val="46EF1F7B"/>
    <w:rsid w:val="46F7167D"/>
    <w:rsid w:val="47576587"/>
    <w:rsid w:val="47C86CD4"/>
    <w:rsid w:val="47E71290"/>
    <w:rsid w:val="481F055E"/>
    <w:rsid w:val="49825190"/>
    <w:rsid w:val="49825B26"/>
    <w:rsid w:val="49B67CFA"/>
    <w:rsid w:val="4CDF20A6"/>
    <w:rsid w:val="4D3C4654"/>
    <w:rsid w:val="4F4B7DCD"/>
    <w:rsid w:val="4FA258D6"/>
    <w:rsid w:val="506F382F"/>
    <w:rsid w:val="51AC2B84"/>
    <w:rsid w:val="54CE7440"/>
    <w:rsid w:val="55F923D5"/>
    <w:rsid w:val="55FD37A4"/>
    <w:rsid w:val="56457C1E"/>
    <w:rsid w:val="56515E1C"/>
    <w:rsid w:val="56533C99"/>
    <w:rsid w:val="5B7808CF"/>
    <w:rsid w:val="5C9B513F"/>
    <w:rsid w:val="5D816DC7"/>
    <w:rsid w:val="5ED77002"/>
    <w:rsid w:val="5F43070A"/>
    <w:rsid w:val="60721E2A"/>
    <w:rsid w:val="609A4530"/>
    <w:rsid w:val="61277E39"/>
    <w:rsid w:val="612942C2"/>
    <w:rsid w:val="616A0E67"/>
    <w:rsid w:val="61F5701D"/>
    <w:rsid w:val="62C91749"/>
    <w:rsid w:val="63296033"/>
    <w:rsid w:val="65E1594A"/>
    <w:rsid w:val="67773EE4"/>
    <w:rsid w:val="679B56D1"/>
    <w:rsid w:val="68185B97"/>
    <w:rsid w:val="6A4B6941"/>
    <w:rsid w:val="6AA64D6E"/>
    <w:rsid w:val="6AB449D9"/>
    <w:rsid w:val="6B593E46"/>
    <w:rsid w:val="6CF54F16"/>
    <w:rsid w:val="6DA07A65"/>
    <w:rsid w:val="71A86007"/>
    <w:rsid w:val="722E4EA0"/>
    <w:rsid w:val="733C4AD6"/>
    <w:rsid w:val="737F356B"/>
    <w:rsid w:val="74357101"/>
    <w:rsid w:val="75692A6C"/>
    <w:rsid w:val="765C392E"/>
    <w:rsid w:val="768E6BEE"/>
    <w:rsid w:val="76F94450"/>
    <w:rsid w:val="77D817B8"/>
    <w:rsid w:val="77F60891"/>
    <w:rsid w:val="7AC65BFC"/>
    <w:rsid w:val="7B9C33FD"/>
    <w:rsid w:val="7BF7715F"/>
    <w:rsid w:val="7BFE3C82"/>
    <w:rsid w:val="7C0C3130"/>
    <w:rsid w:val="7C545338"/>
    <w:rsid w:val="7CC82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3">
    <w:name w:val="Default Paragraph Font"/>
    <w:link w:val="14"/>
    <w:semiHidden/>
    <w:qFormat/>
    <w:uiPriority w:val="0"/>
    <w:rPr>
      <w:szCs w:val="21"/>
    </w:rPr>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5">
    <w:name w:val="Body Text"/>
    <w:basedOn w:val="1"/>
    <w:next w:val="1"/>
    <w:qFormat/>
    <w:uiPriority w:val="0"/>
    <w:pPr>
      <w:jc w:val="center"/>
    </w:pPr>
    <w:rPr>
      <w:rFonts w:ascii="仿宋_GB2312" w:hAnsi="Calibri" w:eastAsia="黑体"/>
      <w:sz w:val="4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39"/>
    <w:pPr>
      <w:spacing w:before="120" w:after="120"/>
      <w:jc w:val="left"/>
    </w:pPr>
    <w:rPr>
      <w:rFonts w:ascii="等线" w:eastAsia="等线"/>
      <w:b/>
      <w:bCs/>
      <w:caps/>
      <w:sz w:val="20"/>
      <w:szCs w:val="20"/>
    </w:rPr>
  </w:style>
  <w:style w:type="paragraph" w:styleId="9">
    <w:name w:val="Title"/>
    <w:basedOn w:val="1"/>
    <w:next w:val="1"/>
    <w:qFormat/>
    <w:uiPriority w:val="0"/>
    <w:pPr>
      <w:spacing w:before="240" w:beforeLines="0" w:beforeAutospacing="0" w:after="60" w:afterLines="0" w:afterAutospacing="0"/>
      <w:jc w:val="center"/>
      <w:outlineLvl w:val="0"/>
    </w:pPr>
    <w:rPr>
      <w:rFonts w:ascii="Arial" w:hAnsi="Arial" w:eastAsia="宋体"/>
      <w:b/>
    </w:rPr>
  </w:style>
  <w:style w:type="paragraph" w:styleId="10">
    <w:name w:val="Body Text First Indent"/>
    <w:basedOn w:val="5"/>
    <w:qFormat/>
    <w:uiPriority w:val="0"/>
    <w:pPr>
      <w:widowControl/>
      <w:spacing w:before="120" w:after="120"/>
      <w:ind w:firstLine="420" w:firstLineChars="100"/>
    </w:pPr>
    <w:rPr>
      <w:rFonts w:ascii="Arial" w:hAnsi="Arial"/>
      <w:sz w:val="28"/>
      <w:szCs w:val="28"/>
      <w:lang w:val="en-GB" w:eastAsia="fr-FR"/>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默认段落字体 Para Char Char Char Char"/>
    <w:basedOn w:val="1"/>
    <w:link w:val="13"/>
    <w:qFormat/>
    <w:uiPriority w:val="0"/>
    <w:rPr>
      <w:szCs w:val="21"/>
    </w:rPr>
  </w:style>
  <w:style w:type="character" w:styleId="15">
    <w:name w:val="page number"/>
    <w:basedOn w:val="13"/>
    <w:qFormat/>
    <w:uiPriority w:val="0"/>
  </w:style>
  <w:style w:type="character" w:styleId="16">
    <w:name w:val="Hyperlink"/>
    <w:basedOn w:val="13"/>
    <w:qFormat/>
    <w:uiPriority w:val="0"/>
    <w:rPr>
      <w:color w:val="0000FF"/>
      <w:u w:val="single"/>
    </w:rPr>
  </w:style>
  <w:style w:type="paragraph" w:customStyle="1" w:styleId="17">
    <w:name w:val="Default"/>
    <w:next w:val="1"/>
    <w:qFormat/>
    <w:uiPriority w:val="99"/>
    <w:pPr>
      <w:widowControl w:val="0"/>
      <w:autoSpaceDE w:val="0"/>
      <w:autoSpaceDN w:val="0"/>
      <w:adjustRightInd w:val="0"/>
    </w:pPr>
    <w:rPr>
      <w:rFonts w:ascii="方正黑体_GBK" w:eastAsia="方正黑体_GBK" w:cs="方正黑体_GBK" w:hAnsiTheme="minorHAnsi"/>
      <w:color w:val="000000"/>
      <w:sz w:val="24"/>
      <w:szCs w:val="24"/>
      <w:lang w:val="en-US" w:eastAsia="zh-CN" w:bidi="ar-SA"/>
    </w:rPr>
  </w:style>
  <w:style w:type="paragraph" w:customStyle="1" w:styleId="18">
    <w:name w:val="目录 53"/>
    <w:next w:val="1"/>
    <w:qFormat/>
    <w:uiPriority w:val="0"/>
    <w:pPr>
      <w:wordWrap w:val="0"/>
      <w:ind w:left="1275"/>
      <w:jc w:val="both"/>
    </w:pPr>
    <w:rPr>
      <w:rFonts w:ascii="Calibri" w:hAnsi="Calibri" w:eastAsia="宋体" w:cs="Times New Roman"/>
      <w:sz w:val="21"/>
      <w:lang w:val="en-US" w:eastAsia="zh-CN" w:bidi="ar-SA"/>
    </w:rPr>
  </w:style>
  <w:style w:type="character" w:customStyle="1" w:styleId="19">
    <w:name w:val="font61"/>
    <w:basedOn w:val="13"/>
    <w:qFormat/>
    <w:uiPriority w:val="0"/>
    <w:rPr>
      <w:rFonts w:hint="eastAsia" w:ascii="宋体" w:hAnsi="宋体" w:eastAsia="宋体" w:cs="宋体"/>
      <w:b/>
      <w:color w:val="000000"/>
      <w:sz w:val="36"/>
      <w:szCs w:val="36"/>
      <w:u w:val="none"/>
    </w:rPr>
  </w:style>
  <w:style w:type="paragraph" w:customStyle="1" w:styleId="20">
    <w:name w:val="Other|1"/>
    <w:basedOn w:val="1"/>
    <w:qFormat/>
    <w:uiPriority w:val="0"/>
    <w:pPr>
      <w:spacing w:line="461" w:lineRule="auto"/>
      <w:ind w:firstLine="400"/>
    </w:pPr>
    <w:rPr>
      <w:rFonts w:ascii="宋体" w:hAnsi="宋体" w:eastAsia="宋体" w:cs="宋体"/>
      <w:sz w:val="28"/>
      <w:szCs w:val="28"/>
      <w:lang w:val="zh-TW" w:eastAsia="zh-TW" w:bidi="zh-TW"/>
    </w:rPr>
  </w:style>
  <w:style w:type="paragraph" w:customStyle="1" w:styleId="21">
    <w:name w:val="Body text|1"/>
    <w:basedOn w:val="1"/>
    <w:qFormat/>
    <w:uiPriority w:val="0"/>
    <w:pPr>
      <w:spacing w:line="461" w:lineRule="auto"/>
      <w:ind w:firstLine="400"/>
    </w:pPr>
    <w:rPr>
      <w:rFonts w:ascii="宋体" w:hAnsi="宋体" w:eastAsia="宋体" w:cs="宋体"/>
      <w:sz w:val="28"/>
      <w:szCs w:val="28"/>
      <w:lang w:val="zh-TW" w:eastAsia="zh-TW" w:bidi="zh-TW"/>
    </w:rPr>
  </w:style>
  <w:style w:type="character" w:customStyle="1" w:styleId="22">
    <w:name w:val="font21"/>
    <w:basedOn w:val="13"/>
    <w:qFormat/>
    <w:uiPriority w:val="0"/>
    <w:rPr>
      <w:rFonts w:hint="eastAsia" w:ascii="宋体" w:hAnsi="宋体" w:eastAsia="宋体" w:cs="宋体"/>
      <w:color w:val="000000"/>
      <w:sz w:val="18"/>
      <w:szCs w:val="18"/>
      <w:u w:val="none"/>
    </w:rPr>
  </w:style>
  <w:style w:type="character" w:customStyle="1" w:styleId="23">
    <w:name w:val="font11"/>
    <w:basedOn w:val="13"/>
    <w:qFormat/>
    <w:uiPriority w:val="0"/>
    <w:rPr>
      <w:rFonts w:ascii="Calibri" w:hAnsi="Calibri" w:cs="Calibri"/>
      <w:color w:val="000000"/>
      <w:sz w:val="18"/>
      <w:szCs w:val="18"/>
      <w:u w:val="none"/>
    </w:rPr>
  </w:style>
  <w:style w:type="paragraph" w:customStyle="1" w:styleId="24">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872</Words>
  <Characters>929</Characters>
  <Lines>0</Lines>
  <Paragraphs>0</Paragraphs>
  <TotalTime>5</TotalTime>
  <ScaleCrop>false</ScaleCrop>
  <LinksUpToDate>false</LinksUpToDate>
  <CharactersWithSpaces>970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2024-01-25T08:27:00Z</dcterms:created>
  <dc:creator>Administrator</dc:creator>
  <cp:lastModifiedBy>梁平信息网_邓继勇</cp:lastModifiedBy>
  <cp:lastPrinted>2025-10-15T04:48:00Z</cp:lastPrinted>
  <dcterms:modified xsi:type="dcterms:W3CDTF">2025-10-15T08:02:00Z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62A902E37676415AAB0C7563A83B2A99_13</vt:lpwstr>
  </property>
  <property fmtid="{D5CDD505-2E9C-101B-9397-08002B2CF9AE}" pid="4" name="KSOTemplateDocerSaveRecord">
    <vt:lpwstr>eyJoZGlkIjoiNTFmNTMwY2VjOGYzMjYxMjUxNjVmYjAyOTg1OGEzMTMiLCJ1c2VySWQiOiIyOTA5MjQ1ODMifQ==</vt:lpwstr>
  </property>
</Properties>
</file>